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AE" w:rsidRDefault="006E6BAE" w:rsidP="00B67B27">
      <w:pPr>
        <w:rPr>
          <w:b/>
        </w:rPr>
      </w:pPr>
    </w:p>
    <w:p w:rsidR="006E6BAE" w:rsidRDefault="006E6BAE" w:rsidP="00CB6673">
      <w:pPr>
        <w:jc w:val="center"/>
        <w:rPr>
          <w:b/>
        </w:rPr>
      </w:pPr>
    </w:p>
    <w:p w:rsidR="00BD6EB5" w:rsidRPr="00894A7E" w:rsidRDefault="00D93AD0" w:rsidP="00CB6673">
      <w:pPr>
        <w:jc w:val="center"/>
        <w:rPr>
          <w:b/>
        </w:rPr>
      </w:pPr>
      <w:bookmarkStart w:id="0" w:name="_GoBack"/>
      <w:r w:rsidRPr="00894A7E">
        <w:rPr>
          <w:b/>
        </w:rPr>
        <w:t>Madame Pénicaud, l’urgence sociale est aussi au ministère du travail</w:t>
      </w:r>
    </w:p>
    <w:p w:rsidR="00CB6673" w:rsidRPr="00894A7E" w:rsidRDefault="00D93AD0" w:rsidP="00CB6673">
      <w:pPr>
        <w:jc w:val="center"/>
        <w:rPr>
          <w:b/>
        </w:rPr>
      </w:pPr>
      <w:r w:rsidRPr="00894A7E">
        <w:rPr>
          <w:b/>
        </w:rPr>
        <w:t>1000 euros tout de suite !</w:t>
      </w:r>
    </w:p>
    <w:p w:rsidR="00D93AD0" w:rsidRPr="00894A7E" w:rsidRDefault="00D93AD0" w:rsidP="00CB6673">
      <w:pPr>
        <w:jc w:val="center"/>
        <w:rPr>
          <w:b/>
        </w:rPr>
      </w:pPr>
      <w:r w:rsidRPr="00894A7E">
        <w:rPr>
          <w:b/>
        </w:rPr>
        <w:t>Revalorisation des grilles !</w:t>
      </w:r>
    </w:p>
    <w:bookmarkEnd w:id="0"/>
    <w:p w:rsidR="00CB6673" w:rsidRDefault="00CB6673" w:rsidP="00CB6673">
      <w:pPr>
        <w:ind w:left="1134"/>
        <w:jc w:val="both"/>
      </w:pPr>
    </w:p>
    <w:p w:rsidR="00D93AD0" w:rsidRPr="006E6BAE" w:rsidRDefault="00D93AD0" w:rsidP="00CB6673">
      <w:pPr>
        <w:ind w:left="1134" w:right="866"/>
        <w:jc w:val="both"/>
        <w:rPr>
          <w:sz w:val="22"/>
          <w:szCs w:val="22"/>
        </w:rPr>
      </w:pPr>
      <w:r w:rsidRPr="006E6BAE">
        <w:rPr>
          <w:sz w:val="22"/>
          <w:szCs w:val="22"/>
        </w:rPr>
        <w:t>Madame PENICAUD</w:t>
      </w:r>
      <w:r w:rsidR="00894A7E" w:rsidRPr="006E6BAE">
        <w:rPr>
          <w:sz w:val="22"/>
          <w:szCs w:val="22"/>
        </w:rPr>
        <w:t>, ministre</w:t>
      </w:r>
      <w:r w:rsidR="00E03E8C" w:rsidRPr="006E6BAE">
        <w:rPr>
          <w:sz w:val="22"/>
          <w:szCs w:val="22"/>
        </w:rPr>
        <w:t xml:space="preserve"> du travail</w:t>
      </w:r>
      <w:r w:rsidR="00F66DBD">
        <w:rPr>
          <w:sz w:val="22"/>
          <w:szCs w:val="22"/>
        </w:rPr>
        <w:t>,</w:t>
      </w:r>
      <w:r w:rsidR="00E03E8C" w:rsidRPr="006E6BAE">
        <w:rPr>
          <w:sz w:val="22"/>
          <w:szCs w:val="22"/>
        </w:rPr>
        <w:t xml:space="preserve"> </w:t>
      </w:r>
      <w:r w:rsidR="00503048" w:rsidRPr="00F66DBD">
        <w:rPr>
          <w:sz w:val="22"/>
          <w:szCs w:val="22"/>
        </w:rPr>
        <w:t>a</w:t>
      </w:r>
      <w:r w:rsidR="00CB6673" w:rsidRPr="006E6BAE">
        <w:rPr>
          <w:sz w:val="22"/>
          <w:szCs w:val="22"/>
        </w:rPr>
        <w:t xml:space="preserve"> déclaré sur BFM </w:t>
      </w:r>
      <w:r w:rsidRPr="006E6BAE">
        <w:rPr>
          <w:sz w:val="22"/>
          <w:szCs w:val="22"/>
        </w:rPr>
        <w:t>au mois de décembre</w:t>
      </w:r>
      <w:r w:rsidR="00CB6673" w:rsidRPr="006E6BAE">
        <w:rPr>
          <w:sz w:val="22"/>
          <w:szCs w:val="22"/>
        </w:rPr>
        <w:t xml:space="preserve"> « </w:t>
      </w:r>
      <w:r w:rsidR="00CB6673" w:rsidRPr="006E6BAE">
        <w:rPr>
          <w:i/>
          <w:sz w:val="22"/>
          <w:szCs w:val="22"/>
        </w:rPr>
        <w:t>nous sommes en urgence sociale absolue et donc en urgence économique </w:t>
      </w:r>
      <w:r w:rsidRPr="006E6BAE">
        <w:rPr>
          <w:sz w:val="22"/>
          <w:szCs w:val="22"/>
        </w:rPr>
        <w:t>» et a incité les grand</w:t>
      </w:r>
      <w:r w:rsidR="00CB6673" w:rsidRPr="006E6BAE">
        <w:rPr>
          <w:sz w:val="22"/>
          <w:szCs w:val="22"/>
        </w:rPr>
        <w:t>s patrons à « montrer l’exemple » en accordant une prime exceptionnelle ou des augmentations de salaire.</w:t>
      </w:r>
    </w:p>
    <w:p w:rsidR="00D93AD0" w:rsidRPr="006E6BAE" w:rsidRDefault="00D93AD0" w:rsidP="00CB6673">
      <w:pPr>
        <w:ind w:left="1134" w:right="866"/>
        <w:jc w:val="both"/>
        <w:rPr>
          <w:sz w:val="22"/>
          <w:szCs w:val="22"/>
        </w:rPr>
      </w:pPr>
      <w:r w:rsidRPr="006E6BAE">
        <w:rPr>
          <w:sz w:val="22"/>
          <w:szCs w:val="22"/>
        </w:rPr>
        <w:t>Mais au ministère du travail, seules quelques miettes ont été distribuées aux agent-e-s : la rallonge de 33%</w:t>
      </w:r>
      <w:r w:rsidR="00404FBD" w:rsidRPr="006E6BAE">
        <w:rPr>
          <w:sz w:val="22"/>
          <w:szCs w:val="22"/>
        </w:rPr>
        <w:t xml:space="preserve"> du CIA</w:t>
      </w:r>
      <w:r w:rsidRPr="006E6BAE">
        <w:rPr>
          <w:sz w:val="22"/>
          <w:szCs w:val="22"/>
        </w:rPr>
        <w:t xml:space="preserve"> </w:t>
      </w:r>
      <w:r w:rsidR="00894A7E" w:rsidRPr="006E6BAE">
        <w:rPr>
          <w:sz w:val="22"/>
          <w:szCs w:val="22"/>
        </w:rPr>
        <w:t>sur la paye de décembre</w:t>
      </w:r>
      <w:r w:rsidRPr="006E6BAE">
        <w:rPr>
          <w:sz w:val="22"/>
          <w:szCs w:val="22"/>
        </w:rPr>
        <w:t xml:space="preserve"> correspond à peine à une centaine d’euros bruts, et encore moins pour les catégories B et C dans certaines régions ! Pourtant, force est de constater qu’il a été possible de faire plus pour certain-e-s : en à peine une journée de mobilisation, les policiers ont obtenu une revalorisation de leur traitement de 120 à 150 euros par mois… Et au ministère même, la DRH a mis en place en fin d’année dernière une prime de l’ordre de </w:t>
      </w:r>
      <w:r w:rsidR="006E6BAE" w:rsidRPr="006E6BAE">
        <w:rPr>
          <w:sz w:val="22"/>
          <w:szCs w:val="22"/>
        </w:rPr>
        <w:t>400 à 1100</w:t>
      </w:r>
      <w:r w:rsidR="00503048">
        <w:rPr>
          <w:sz w:val="22"/>
          <w:szCs w:val="22"/>
        </w:rPr>
        <w:t xml:space="preserve"> euros au </w:t>
      </w:r>
      <w:r w:rsidR="00503048" w:rsidRPr="00F66DBD">
        <w:rPr>
          <w:sz w:val="22"/>
          <w:szCs w:val="22"/>
        </w:rPr>
        <w:t>bénéfice</w:t>
      </w:r>
      <w:r w:rsidR="00503048">
        <w:rPr>
          <w:sz w:val="22"/>
          <w:szCs w:val="22"/>
        </w:rPr>
        <w:t xml:space="preserve"> </w:t>
      </w:r>
      <w:r w:rsidR="00F66DBD">
        <w:rPr>
          <w:sz w:val="22"/>
          <w:szCs w:val="22"/>
        </w:rPr>
        <w:t xml:space="preserve"> </w:t>
      </w:r>
      <w:r w:rsidRPr="006E6BAE">
        <w:rPr>
          <w:sz w:val="22"/>
          <w:szCs w:val="22"/>
        </w:rPr>
        <w:t xml:space="preserve">des seuls responsables d’unité de contrôle. </w:t>
      </w:r>
    </w:p>
    <w:p w:rsidR="00D93AD0" w:rsidRPr="006E6BAE" w:rsidRDefault="00D93AD0" w:rsidP="00D93AD0">
      <w:pPr>
        <w:ind w:left="1134" w:right="866"/>
        <w:jc w:val="both"/>
        <w:rPr>
          <w:sz w:val="22"/>
          <w:szCs w:val="22"/>
        </w:rPr>
      </w:pPr>
      <w:r w:rsidRPr="006E6BAE">
        <w:rPr>
          <w:sz w:val="22"/>
          <w:szCs w:val="22"/>
        </w:rPr>
        <w:t xml:space="preserve">Ces inégalités de traitement sont insupportables, car toutes et tous les agents assurent leurs missions dans des conditions très dégradées. Notre charge de travail s’est beaucoup accrue ces dernières années du fait des nombreuses suppressions de postes, mais les efforts consentis pour continuer à rendre le service attendu par les usagers n’ont donné lieu à aucune forme de reconnaissance. </w:t>
      </w:r>
    </w:p>
    <w:p w:rsidR="00D93AD0" w:rsidRPr="006E6BAE" w:rsidRDefault="00894A7E" w:rsidP="00894A7E">
      <w:pPr>
        <w:ind w:left="1134" w:right="866"/>
        <w:jc w:val="both"/>
        <w:rPr>
          <w:sz w:val="22"/>
          <w:szCs w:val="22"/>
        </w:rPr>
      </w:pPr>
      <w:r w:rsidRPr="006E6BAE">
        <w:rPr>
          <w:sz w:val="22"/>
          <w:szCs w:val="22"/>
        </w:rPr>
        <w:t>Si n</w:t>
      </w:r>
      <w:r w:rsidR="00404FBD" w:rsidRPr="006E6BAE">
        <w:rPr>
          <w:sz w:val="22"/>
          <w:szCs w:val="22"/>
        </w:rPr>
        <w:t>ous sommes en « urgence sociale</w:t>
      </w:r>
      <w:r w:rsidRPr="006E6BAE">
        <w:rPr>
          <w:sz w:val="22"/>
          <w:szCs w:val="22"/>
        </w:rPr>
        <w:t xml:space="preserve"> absolue</w:t>
      </w:r>
      <w:r w:rsidR="00404FBD" w:rsidRPr="006E6BAE">
        <w:rPr>
          <w:sz w:val="22"/>
          <w:szCs w:val="22"/>
        </w:rPr>
        <w:t> »</w:t>
      </w:r>
      <w:r w:rsidRPr="006E6BAE">
        <w:rPr>
          <w:sz w:val="22"/>
          <w:szCs w:val="22"/>
        </w:rPr>
        <w:t>, ce sont toutes et tous les agents qui doivent bénéficier d’une au</w:t>
      </w:r>
      <w:r w:rsidR="00404FBD" w:rsidRPr="006E6BAE">
        <w:rPr>
          <w:sz w:val="22"/>
          <w:szCs w:val="22"/>
        </w:rPr>
        <w:t>gmentation significative de leur</w:t>
      </w:r>
      <w:r w:rsidRPr="006E6BAE">
        <w:rPr>
          <w:sz w:val="22"/>
          <w:szCs w:val="22"/>
        </w:rPr>
        <w:t xml:space="preserve"> pouvoir d’achat, et avant tout les catégories aux traitements les plus faibles. Nous </w:t>
      </w:r>
      <w:r w:rsidR="00D93AD0" w:rsidRPr="006E6BAE">
        <w:rPr>
          <w:sz w:val="22"/>
          <w:szCs w:val="22"/>
        </w:rPr>
        <w:t xml:space="preserve">demandons donc à </w:t>
      </w:r>
      <w:r w:rsidR="00B94502" w:rsidRPr="006E6BAE">
        <w:rPr>
          <w:sz w:val="22"/>
          <w:szCs w:val="22"/>
        </w:rPr>
        <w:t xml:space="preserve">Madame la Ministre </w:t>
      </w:r>
      <w:r w:rsidR="00D93AD0" w:rsidRPr="006E6BAE">
        <w:rPr>
          <w:sz w:val="22"/>
          <w:szCs w:val="22"/>
        </w:rPr>
        <w:t>d</w:t>
      </w:r>
      <w:r w:rsidR="00404FBD" w:rsidRPr="006E6BAE">
        <w:rPr>
          <w:sz w:val="22"/>
          <w:szCs w:val="22"/>
        </w:rPr>
        <w:t>e montrer elle aussi l’exemple</w:t>
      </w:r>
      <w:r w:rsidRPr="006E6BAE">
        <w:rPr>
          <w:sz w:val="22"/>
          <w:szCs w:val="22"/>
        </w:rPr>
        <w:t xml:space="preserve"> en accordant immédiatement une prime de 1000 euros</w:t>
      </w:r>
      <w:r w:rsidR="00D93AD0" w:rsidRPr="006E6BAE">
        <w:rPr>
          <w:sz w:val="22"/>
          <w:szCs w:val="22"/>
        </w:rPr>
        <w:t xml:space="preserve"> </w:t>
      </w:r>
      <w:r w:rsidRPr="006E6BAE">
        <w:rPr>
          <w:sz w:val="22"/>
          <w:szCs w:val="22"/>
        </w:rPr>
        <w:t>à tous les agent</w:t>
      </w:r>
      <w:r w:rsidR="00E03E8C" w:rsidRPr="006E6BAE">
        <w:rPr>
          <w:sz w:val="22"/>
          <w:szCs w:val="22"/>
        </w:rPr>
        <w:t xml:space="preserve">-e-s du ministère du travail, </w:t>
      </w:r>
      <w:r w:rsidRPr="006E6BAE">
        <w:rPr>
          <w:sz w:val="22"/>
          <w:szCs w:val="22"/>
        </w:rPr>
        <w:t xml:space="preserve">en </w:t>
      </w:r>
      <w:r w:rsidR="00E03E8C" w:rsidRPr="006E6BAE">
        <w:rPr>
          <w:sz w:val="22"/>
          <w:szCs w:val="22"/>
        </w:rPr>
        <w:t>augmentant nos traitements de la même façon</w:t>
      </w:r>
      <w:r w:rsidR="006E6BAE" w:rsidRPr="006E6BAE">
        <w:rPr>
          <w:sz w:val="22"/>
          <w:szCs w:val="22"/>
        </w:rPr>
        <w:t xml:space="preserve"> qu’au ministère de l’intérieur</w:t>
      </w:r>
      <w:r w:rsidR="00E03E8C" w:rsidRPr="006E6BAE">
        <w:rPr>
          <w:sz w:val="22"/>
          <w:szCs w:val="22"/>
        </w:rPr>
        <w:t xml:space="preserve">. </w:t>
      </w:r>
      <w:r w:rsidR="00B94502" w:rsidRPr="006E6BAE">
        <w:rPr>
          <w:sz w:val="22"/>
          <w:szCs w:val="22"/>
        </w:rPr>
        <w:t>La valeur du point d’indice doit être revalorisée immédiatement à la hauteur des pertes subies depuis presque 20 ans, et toutes les primes doivent être intégrées dans les grilles indiciaires.</w:t>
      </w:r>
    </w:p>
    <w:p w:rsidR="00894A7E" w:rsidRDefault="00894A7E" w:rsidP="006E6BAE">
      <w:pPr>
        <w:ind w:right="866"/>
      </w:pPr>
    </w:p>
    <w:p w:rsidR="006E6BAE" w:rsidRDefault="006E6BAE" w:rsidP="006E6BAE">
      <w:pPr>
        <w:ind w:right="866"/>
      </w:pPr>
    </w:p>
    <w:tbl>
      <w:tblPr>
        <w:tblStyle w:val="Grilledutableau"/>
        <w:tblW w:w="0" w:type="auto"/>
        <w:tblInd w:w="1134" w:type="dxa"/>
        <w:tblLook w:val="04A0" w:firstRow="1" w:lastRow="0" w:firstColumn="1" w:lastColumn="0" w:noHBand="0" w:noVBand="1"/>
      </w:tblPr>
      <w:tblGrid>
        <w:gridCol w:w="2610"/>
        <w:gridCol w:w="2318"/>
        <w:gridCol w:w="2410"/>
        <w:gridCol w:w="2268"/>
      </w:tblGrid>
      <w:tr w:rsidR="006E6BAE" w:rsidTr="006E6BAE">
        <w:tc>
          <w:tcPr>
            <w:tcW w:w="2610" w:type="dxa"/>
          </w:tcPr>
          <w:p w:rsidR="006E6BAE" w:rsidRPr="006E6BAE" w:rsidRDefault="006E6BAE" w:rsidP="006E6BAE">
            <w:pPr>
              <w:jc w:val="center"/>
              <w:rPr>
                <w:b/>
              </w:rPr>
            </w:pPr>
            <w:r w:rsidRPr="006E6BAE">
              <w:rPr>
                <w:b/>
              </w:rPr>
              <w:t>Nom</w:t>
            </w:r>
          </w:p>
        </w:tc>
        <w:tc>
          <w:tcPr>
            <w:tcW w:w="2318" w:type="dxa"/>
          </w:tcPr>
          <w:p w:rsidR="006E6BAE" w:rsidRPr="006E6BAE" w:rsidRDefault="006E6BAE" w:rsidP="006E6BAE">
            <w:pPr>
              <w:jc w:val="center"/>
              <w:rPr>
                <w:b/>
              </w:rPr>
            </w:pPr>
            <w:r w:rsidRPr="006E6BAE">
              <w:rPr>
                <w:b/>
              </w:rPr>
              <w:t>Prénom</w:t>
            </w:r>
          </w:p>
        </w:tc>
        <w:tc>
          <w:tcPr>
            <w:tcW w:w="2410" w:type="dxa"/>
          </w:tcPr>
          <w:p w:rsidR="006E6BAE" w:rsidRPr="006E6BAE" w:rsidRDefault="006E6BAE" w:rsidP="006E6BAE">
            <w:pPr>
              <w:jc w:val="center"/>
              <w:rPr>
                <w:b/>
              </w:rPr>
            </w:pPr>
            <w:r w:rsidRPr="006E6BAE">
              <w:rPr>
                <w:b/>
              </w:rPr>
              <w:t>Service</w:t>
            </w:r>
          </w:p>
        </w:tc>
        <w:tc>
          <w:tcPr>
            <w:tcW w:w="2268" w:type="dxa"/>
          </w:tcPr>
          <w:p w:rsidR="006E6BAE" w:rsidRPr="006E6BAE" w:rsidRDefault="006E6BAE" w:rsidP="006E6BAE">
            <w:pPr>
              <w:jc w:val="center"/>
              <w:rPr>
                <w:b/>
              </w:rPr>
            </w:pPr>
            <w:r w:rsidRPr="006E6BAE">
              <w:rPr>
                <w:b/>
              </w:rPr>
              <w:t>Signature</w:t>
            </w:r>
          </w:p>
        </w:tc>
      </w:tr>
      <w:tr w:rsidR="006E6BAE" w:rsidTr="006E6BAE">
        <w:tc>
          <w:tcPr>
            <w:tcW w:w="2610" w:type="dxa"/>
          </w:tcPr>
          <w:p w:rsidR="006E6BAE" w:rsidRPr="006E6BAE" w:rsidRDefault="006E6BAE" w:rsidP="00BC5F1E">
            <w:pPr>
              <w:ind w:right="866"/>
              <w:jc w:val="center"/>
              <w:rPr>
                <w:sz w:val="20"/>
                <w:szCs w:val="20"/>
              </w:rPr>
            </w:pPr>
          </w:p>
          <w:p w:rsidR="006E6BAE" w:rsidRPr="006E6BAE" w:rsidRDefault="006E6BAE" w:rsidP="00BC5F1E">
            <w:pPr>
              <w:ind w:right="866"/>
              <w:jc w:val="center"/>
              <w:rPr>
                <w:sz w:val="20"/>
                <w:szCs w:val="20"/>
              </w:rPr>
            </w:pPr>
          </w:p>
        </w:tc>
        <w:tc>
          <w:tcPr>
            <w:tcW w:w="2318" w:type="dxa"/>
          </w:tcPr>
          <w:p w:rsidR="006E6BAE" w:rsidRPr="006E6BAE" w:rsidRDefault="006E6BAE" w:rsidP="00BC5F1E">
            <w:pPr>
              <w:ind w:right="866"/>
              <w:jc w:val="center"/>
              <w:rPr>
                <w:sz w:val="20"/>
                <w:szCs w:val="20"/>
              </w:rPr>
            </w:pPr>
          </w:p>
        </w:tc>
        <w:tc>
          <w:tcPr>
            <w:tcW w:w="2410" w:type="dxa"/>
          </w:tcPr>
          <w:p w:rsidR="006E6BAE" w:rsidRPr="006E6BAE" w:rsidRDefault="006E6BAE" w:rsidP="00BC5F1E">
            <w:pPr>
              <w:ind w:right="866"/>
              <w:jc w:val="center"/>
              <w:rPr>
                <w:sz w:val="20"/>
                <w:szCs w:val="20"/>
              </w:rPr>
            </w:pPr>
          </w:p>
        </w:tc>
        <w:tc>
          <w:tcPr>
            <w:tcW w:w="2268" w:type="dxa"/>
          </w:tcPr>
          <w:p w:rsidR="006E6BAE" w:rsidRPr="006E6BAE" w:rsidRDefault="006E6BAE" w:rsidP="00BC5F1E">
            <w:pPr>
              <w:ind w:right="866"/>
              <w:jc w:val="center"/>
              <w:rPr>
                <w:sz w:val="20"/>
                <w:szCs w:val="20"/>
              </w:rPr>
            </w:pPr>
          </w:p>
        </w:tc>
      </w:tr>
      <w:tr w:rsidR="006E6BAE" w:rsidTr="006E6BAE">
        <w:tc>
          <w:tcPr>
            <w:tcW w:w="2610" w:type="dxa"/>
          </w:tcPr>
          <w:p w:rsidR="006E6BAE" w:rsidRPr="006E6BAE" w:rsidRDefault="006E6BAE" w:rsidP="00BC5F1E">
            <w:pPr>
              <w:ind w:right="866"/>
              <w:jc w:val="center"/>
              <w:rPr>
                <w:sz w:val="20"/>
                <w:szCs w:val="20"/>
              </w:rPr>
            </w:pPr>
          </w:p>
          <w:p w:rsidR="006E6BAE" w:rsidRPr="006E6BAE" w:rsidRDefault="006E6BAE" w:rsidP="00BC5F1E">
            <w:pPr>
              <w:ind w:right="866"/>
              <w:jc w:val="center"/>
              <w:rPr>
                <w:sz w:val="20"/>
                <w:szCs w:val="20"/>
              </w:rPr>
            </w:pPr>
          </w:p>
        </w:tc>
        <w:tc>
          <w:tcPr>
            <w:tcW w:w="2318" w:type="dxa"/>
          </w:tcPr>
          <w:p w:rsidR="006E6BAE" w:rsidRPr="006E6BAE" w:rsidRDefault="006E6BAE" w:rsidP="00BC5F1E">
            <w:pPr>
              <w:ind w:right="866"/>
              <w:jc w:val="center"/>
              <w:rPr>
                <w:sz w:val="20"/>
                <w:szCs w:val="20"/>
              </w:rPr>
            </w:pPr>
          </w:p>
        </w:tc>
        <w:tc>
          <w:tcPr>
            <w:tcW w:w="2410" w:type="dxa"/>
          </w:tcPr>
          <w:p w:rsidR="006E6BAE" w:rsidRPr="006E6BAE" w:rsidRDefault="006E6BAE" w:rsidP="00BC5F1E">
            <w:pPr>
              <w:ind w:right="866"/>
              <w:jc w:val="center"/>
              <w:rPr>
                <w:sz w:val="20"/>
                <w:szCs w:val="20"/>
              </w:rPr>
            </w:pPr>
          </w:p>
        </w:tc>
        <w:tc>
          <w:tcPr>
            <w:tcW w:w="2268" w:type="dxa"/>
          </w:tcPr>
          <w:p w:rsidR="006E6BAE" w:rsidRPr="006E6BAE" w:rsidRDefault="006E6BAE" w:rsidP="00BC5F1E">
            <w:pPr>
              <w:ind w:right="866"/>
              <w:jc w:val="center"/>
              <w:rPr>
                <w:sz w:val="20"/>
                <w:szCs w:val="20"/>
              </w:rPr>
            </w:pPr>
          </w:p>
        </w:tc>
      </w:tr>
      <w:tr w:rsidR="006E6BAE" w:rsidTr="006E6BAE">
        <w:tc>
          <w:tcPr>
            <w:tcW w:w="2610" w:type="dxa"/>
          </w:tcPr>
          <w:p w:rsidR="006E6BAE" w:rsidRPr="006E6BAE" w:rsidRDefault="006E6BAE" w:rsidP="00BC5F1E">
            <w:pPr>
              <w:ind w:right="866"/>
              <w:jc w:val="center"/>
              <w:rPr>
                <w:sz w:val="20"/>
                <w:szCs w:val="20"/>
              </w:rPr>
            </w:pPr>
          </w:p>
          <w:p w:rsidR="006E6BAE" w:rsidRPr="006E6BAE" w:rsidRDefault="006E6BAE" w:rsidP="00BC5F1E">
            <w:pPr>
              <w:ind w:right="866"/>
              <w:jc w:val="center"/>
              <w:rPr>
                <w:sz w:val="20"/>
                <w:szCs w:val="20"/>
              </w:rPr>
            </w:pPr>
          </w:p>
        </w:tc>
        <w:tc>
          <w:tcPr>
            <w:tcW w:w="2318" w:type="dxa"/>
          </w:tcPr>
          <w:p w:rsidR="006E6BAE" w:rsidRPr="006E6BAE" w:rsidRDefault="006E6BAE" w:rsidP="00BC5F1E">
            <w:pPr>
              <w:ind w:right="866"/>
              <w:jc w:val="center"/>
              <w:rPr>
                <w:sz w:val="20"/>
                <w:szCs w:val="20"/>
              </w:rPr>
            </w:pPr>
          </w:p>
        </w:tc>
        <w:tc>
          <w:tcPr>
            <w:tcW w:w="2410" w:type="dxa"/>
          </w:tcPr>
          <w:p w:rsidR="006E6BAE" w:rsidRPr="006E6BAE" w:rsidRDefault="006E6BAE" w:rsidP="00BC5F1E">
            <w:pPr>
              <w:ind w:right="866"/>
              <w:jc w:val="center"/>
              <w:rPr>
                <w:sz w:val="20"/>
                <w:szCs w:val="20"/>
              </w:rPr>
            </w:pPr>
          </w:p>
        </w:tc>
        <w:tc>
          <w:tcPr>
            <w:tcW w:w="2268" w:type="dxa"/>
          </w:tcPr>
          <w:p w:rsidR="006E6BAE" w:rsidRPr="006E6BAE" w:rsidRDefault="006E6BAE" w:rsidP="00BC5F1E">
            <w:pPr>
              <w:ind w:right="866"/>
              <w:jc w:val="center"/>
              <w:rPr>
                <w:sz w:val="20"/>
                <w:szCs w:val="20"/>
              </w:rPr>
            </w:pPr>
          </w:p>
        </w:tc>
      </w:tr>
      <w:tr w:rsidR="006E6BAE" w:rsidTr="006E6BAE">
        <w:tc>
          <w:tcPr>
            <w:tcW w:w="2610" w:type="dxa"/>
          </w:tcPr>
          <w:p w:rsidR="006E6BAE" w:rsidRPr="006E6BAE" w:rsidRDefault="006E6BAE" w:rsidP="00BC5F1E">
            <w:pPr>
              <w:ind w:right="866"/>
              <w:jc w:val="center"/>
              <w:rPr>
                <w:sz w:val="20"/>
                <w:szCs w:val="20"/>
              </w:rPr>
            </w:pPr>
          </w:p>
          <w:p w:rsidR="006E6BAE" w:rsidRPr="006E6BAE" w:rsidRDefault="006E6BAE" w:rsidP="00BC5F1E">
            <w:pPr>
              <w:ind w:right="866"/>
              <w:jc w:val="center"/>
              <w:rPr>
                <w:sz w:val="20"/>
                <w:szCs w:val="20"/>
              </w:rPr>
            </w:pPr>
          </w:p>
        </w:tc>
        <w:tc>
          <w:tcPr>
            <w:tcW w:w="2318" w:type="dxa"/>
          </w:tcPr>
          <w:p w:rsidR="006E6BAE" w:rsidRPr="006E6BAE" w:rsidRDefault="006E6BAE" w:rsidP="00BC5F1E">
            <w:pPr>
              <w:ind w:right="866"/>
              <w:jc w:val="center"/>
              <w:rPr>
                <w:sz w:val="20"/>
                <w:szCs w:val="20"/>
              </w:rPr>
            </w:pPr>
          </w:p>
        </w:tc>
        <w:tc>
          <w:tcPr>
            <w:tcW w:w="2410" w:type="dxa"/>
          </w:tcPr>
          <w:p w:rsidR="006E6BAE" w:rsidRPr="006E6BAE" w:rsidRDefault="006E6BAE" w:rsidP="00BC5F1E">
            <w:pPr>
              <w:ind w:right="866"/>
              <w:jc w:val="center"/>
              <w:rPr>
                <w:sz w:val="20"/>
                <w:szCs w:val="20"/>
              </w:rPr>
            </w:pPr>
          </w:p>
        </w:tc>
        <w:tc>
          <w:tcPr>
            <w:tcW w:w="2268" w:type="dxa"/>
          </w:tcPr>
          <w:p w:rsidR="006E6BAE" w:rsidRPr="006E6BAE" w:rsidRDefault="006E6BAE" w:rsidP="00BC5F1E">
            <w:pPr>
              <w:ind w:right="866"/>
              <w:jc w:val="center"/>
              <w:rPr>
                <w:sz w:val="20"/>
                <w:szCs w:val="20"/>
              </w:rPr>
            </w:pPr>
          </w:p>
        </w:tc>
      </w:tr>
      <w:tr w:rsidR="006E6BAE" w:rsidTr="006E6BAE">
        <w:tc>
          <w:tcPr>
            <w:tcW w:w="2610" w:type="dxa"/>
          </w:tcPr>
          <w:p w:rsidR="006E6BAE" w:rsidRPr="006E6BAE" w:rsidRDefault="006E6BAE" w:rsidP="00BC5F1E">
            <w:pPr>
              <w:ind w:right="866"/>
              <w:jc w:val="center"/>
              <w:rPr>
                <w:sz w:val="20"/>
                <w:szCs w:val="20"/>
              </w:rPr>
            </w:pPr>
          </w:p>
          <w:p w:rsidR="006E6BAE" w:rsidRPr="006E6BAE" w:rsidRDefault="006E6BAE" w:rsidP="00BC5F1E">
            <w:pPr>
              <w:ind w:right="866"/>
              <w:jc w:val="center"/>
              <w:rPr>
                <w:sz w:val="20"/>
                <w:szCs w:val="20"/>
              </w:rPr>
            </w:pPr>
          </w:p>
        </w:tc>
        <w:tc>
          <w:tcPr>
            <w:tcW w:w="2318" w:type="dxa"/>
          </w:tcPr>
          <w:p w:rsidR="006E6BAE" w:rsidRPr="006E6BAE" w:rsidRDefault="006E6BAE" w:rsidP="00BC5F1E">
            <w:pPr>
              <w:ind w:right="866"/>
              <w:jc w:val="center"/>
              <w:rPr>
                <w:sz w:val="20"/>
                <w:szCs w:val="20"/>
              </w:rPr>
            </w:pPr>
          </w:p>
        </w:tc>
        <w:tc>
          <w:tcPr>
            <w:tcW w:w="2410" w:type="dxa"/>
          </w:tcPr>
          <w:p w:rsidR="006E6BAE" w:rsidRPr="006E6BAE" w:rsidRDefault="006E6BAE" w:rsidP="00BC5F1E">
            <w:pPr>
              <w:ind w:right="866"/>
              <w:jc w:val="center"/>
              <w:rPr>
                <w:sz w:val="20"/>
                <w:szCs w:val="20"/>
              </w:rPr>
            </w:pPr>
          </w:p>
        </w:tc>
        <w:tc>
          <w:tcPr>
            <w:tcW w:w="2268" w:type="dxa"/>
          </w:tcPr>
          <w:p w:rsidR="006E6BAE" w:rsidRPr="006E6BAE" w:rsidRDefault="006E6BAE" w:rsidP="00BC5F1E">
            <w:pPr>
              <w:ind w:right="866"/>
              <w:jc w:val="center"/>
              <w:rPr>
                <w:sz w:val="20"/>
                <w:szCs w:val="20"/>
              </w:rPr>
            </w:pPr>
          </w:p>
        </w:tc>
      </w:tr>
      <w:tr w:rsidR="006E6BAE" w:rsidTr="006E6BAE">
        <w:tc>
          <w:tcPr>
            <w:tcW w:w="2610" w:type="dxa"/>
          </w:tcPr>
          <w:p w:rsidR="006E6BAE" w:rsidRPr="006E6BAE" w:rsidRDefault="006E6BAE" w:rsidP="00BC5F1E">
            <w:pPr>
              <w:ind w:right="866"/>
              <w:jc w:val="center"/>
              <w:rPr>
                <w:sz w:val="20"/>
                <w:szCs w:val="20"/>
              </w:rPr>
            </w:pPr>
          </w:p>
          <w:p w:rsidR="006E6BAE" w:rsidRPr="006E6BAE" w:rsidRDefault="006E6BAE" w:rsidP="00BC5F1E">
            <w:pPr>
              <w:ind w:right="866"/>
              <w:jc w:val="center"/>
              <w:rPr>
                <w:sz w:val="20"/>
                <w:szCs w:val="20"/>
              </w:rPr>
            </w:pPr>
          </w:p>
        </w:tc>
        <w:tc>
          <w:tcPr>
            <w:tcW w:w="2318" w:type="dxa"/>
          </w:tcPr>
          <w:p w:rsidR="006E6BAE" w:rsidRPr="006E6BAE" w:rsidRDefault="006E6BAE" w:rsidP="00BC5F1E">
            <w:pPr>
              <w:ind w:right="866"/>
              <w:jc w:val="center"/>
              <w:rPr>
                <w:sz w:val="20"/>
                <w:szCs w:val="20"/>
              </w:rPr>
            </w:pPr>
          </w:p>
        </w:tc>
        <w:tc>
          <w:tcPr>
            <w:tcW w:w="2410" w:type="dxa"/>
          </w:tcPr>
          <w:p w:rsidR="006E6BAE" w:rsidRPr="006E6BAE" w:rsidRDefault="006E6BAE" w:rsidP="00BC5F1E">
            <w:pPr>
              <w:ind w:right="866"/>
              <w:jc w:val="center"/>
              <w:rPr>
                <w:sz w:val="20"/>
                <w:szCs w:val="20"/>
              </w:rPr>
            </w:pPr>
          </w:p>
        </w:tc>
        <w:tc>
          <w:tcPr>
            <w:tcW w:w="2268" w:type="dxa"/>
          </w:tcPr>
          <w:p w:rsidR="006E6BAE" w:rsidRPr="006E6BAE" w:rsidRDefault="006E6BAE" w:rsidP="00BC5F1E">
            <w:pPr>
              <w:ind w:right="866"/>
              <w:jc w:val="center"/>
              <w:rPr>
                <w:sz w:val="20"/>
                <w:szCs w:val="20"/>
              </w:rPr>
            </w:pPr>
          </w:p>
        </w:tc>
      </w:tr>
      <w:tr w:rsidR="006E6BAE" w:rsidTr="006E6BAE">
        <w:tc>
          <w:tcPr>
            <w:tcW w:w="2610" w:type="dxa"/>
          </w:tcPr>
          <w:p w:rsidR="006E6BAE" w:rsidRPr="006E6BAE" w:rsidRDefault="006E6BAE" w:rsidP="00BC5F1E">
            <w:pPr>
              <w:ind w:right="866"/>
              <w:jc w:val="center"/>
              <w:rPr>
                <w:sz w:val="20"/>
                <w:szCs w:val="20"/>
              </w:rPr>
            </w:pPr>
          </w:p>
          <w:p w:rsidR="006E6BAE" w:rsidRPr="006E6BAE" w:rsidRDefault="006E6BAE" w:rsidP="00BC5F1E">
            <w:pPr>
              <w:ind w:right="866"/>
              <w:jc w:val="center"/>
              <w:rPr>
                <w:sz w:val="20"/>
                <w:szCs w:val="20"/>
              </w:rPr>
            </w:pPr>
          </w:p>
        </w:tc>
        <w:tc>
          <w:tcPr>
            <w:tcW w:w="2318" w:type="dxa"/>
          </w:tcPr>
          <w:p w:rsidR="006E6BAE" w:rsidRPr="006E6BAE" w:rsidRDefault="006E6BAE" w:rsidP="00BC5F1E">
            <w:pPr>
              <w:ind w:right="866"/>
              <w:jc w:val="center"/>
              <w:rPr>
                <w:sz w:val="20"/>
                <w:szCs w:val="20"/>
              </w:rPr>
            </w:pPr>
          </w:p>
        </w:tc>
        <w:tc>
          <w:tcPr>
            <w:tcW w:w="2410" w:type="dxa"/>
          </w:tcPr>
          <w:p w:rsidR="006E6BAE" w:rsidRPr="006E6BAE" w:rsidRDefault="006E6BAE" w:rsidP="00BC5F1E">
            <w:pPr>
              <w:ind w:right="866"/>
              <w:jc w:val="center"/>
              <w:rPr>
                <w:sz w:val="20"/>
                <w:szCs w:val="20"/>
              </w:rPr>
            </w:pPr>
          </w:p>
        </w:tc>
        <w:tc>
          <w:tcPr>
            <w:tcW w:w="2268" w:type="dxa"/>
          </w:tcPr>
          <w:p w:rsidR="006E6BAE" w:rsidRPr="006E6BAE" w:rsidRDefault="006E6BAE" w:rsidP="00BC5F1E">
            <w:pPr>
              <w:ind w:right="866"/>
              <w:jc w:val="center"/>
              <w:rPr>
                <w:sz w:val="20"/>
                <w:szCs w:val="20"/>
              </w:rPr>
            </w:pPr>
          </w:p>
        </w:tc>
      </w:tr>
      <w:tr w:rsidR="006E6BAE" w:rsidTr="006E6BAE">
        <w:tc>
          <w:tcPr>
            <w:tcW w:w="2610" w:type="dxa"/>
          </w:tcPr>
          <w:p w:rsidR="006E6BAE" w:rsidRPr="006E6BAE" w:rsidRDefault="006E6BAE" w:rsidP="00BC5F1E">
            <w:pPr>
              <w:ind w:right="866"/>
              <w:jc w:val="center"/>
              <w:rPr>
                <w:sz w:val="20"/>
                <w:szCs w:val="20"/>
              </w:rPr>
            </w:pPr>
          </w:p>
          <w:p w:rsidR="006E6BAE" w:rsidRPr="006E6BAE" w:rsidRDefault="006E6BAE" w:rsidP="00BC5F1E">
            <w:pPr>
              <w:ind w:right="866"/>
              <w:jc w:val="center"/>
              <w:rPr>
                <w:sz w:val="20"/>
                <w:szCs w:val="20"/>
              </w:rPr>
            </w:pPr>
          </w:p>
        </w:tc>
        <w:tc>
          <w:tcPr>
            <w:tcW w:w="2318" w:type="dxa"/>
          </w:tcPr>
          <w:p w:rsidR="006E6BAE" w:rsidRPr="006E6BAE" w:rsidRDefault="006E6BAE" w:rsidP="00BC5F1E">
            <w:pPr>
              <w:ind w:right="866"/>
              <w:jc w:val="center"/>
              <w:rPr>
                <w:sz w:val="20"/>
                <w:szCs w:val="20"/>
              </w:rPr>
            </w:pPr>
          </w:p>
        </w:tc>
        <w:tc>
          <w:tcPr>
            <w:tcW w:w="2410" w:type="dxa"/>
          </w:tcPr>
          <w:p w:rsidR="006E6BAE" w:rsidRPr="006E6BAE" w:rsidRDefault="006E6BAE" w:rsidP="00BC5F1E">
            <w:pPr>
              <w:ind w:right="866"/>
              <w:jc w:val="center"/>
              <w:rPr>
                <w:sz w:val="20"/>
                <w:szCs w:val="20"/>
              </w:rPr>
            </w:pPr>
          </w:p>
        </w:tc>
        <w:tc>
          <w:tcPr>
            <w:tcW w:w="2268" w:type="dxa"/>
          </w:tcPr>
          <w:p w:rsidR="006E6BAE" w:rsidRPr="006E6BAE" w:rsidRDefault="006E6BAE" w:rsidP="00BC5F1E">
            <w:pPr>
              <w:ind w:right="866"/>
              <w:jc w:val="center"/>
              <w:rPr>
                <w:sz w:val="20"/>
                <w:szCs w:val="20"/>
              </w:rPr>
            </w:pPr>
          </w:p>
        </w:tc>
      </w:tr>
      <w:tr w:rsidR="006E6BAE" w:rsidTr="006E6BAE">
        <w:tc>
          <w:tcPr>
            <w:tcW w:w="2610" w:type="dxa"/>
          </w:tcPr>
          <w:p w:rsidR="006E6BAE" w:rsidRDefault="006E6BAE" w:rsidP="00BC5F1E">
            <w:pPr>
              <w:ind w:right="866"/>
              <w:jc w:val="center"/>
            </w:pPr>
          </w:p>
          <w:p w:rsidR="006E6BAE" w:rsidRDefault="006E6BAE" w:rsidP="00BC5F1E">
            <w:pPr>
              <w:ind w:right="866"/>
              <w:jc w:val="center"/>
            </w:pPr>
          </w:p>
        </w:tc>
        <w:tc>
          <w:tcPr>
            <w:tcW w:w="2318" w:type="dxa"/>
          </w:tcPr>
          <w:p w:rsidR="006E6BAE" w:rsidRDefault="006E6BAE" w:rsidP="00BC5F1E">
            <w:pPr>
              <w:ind w:right="866"/>
              <w:jc w:val="center"/>
            </w:pPr>
          </w:p>
        </w:tc>
        <w:tc>
          <w:tcPr>
            <w:tcW w:w="2410" w:type="dxa"/>
          </w:tcPr>
          <w:p w:rsidR="006E6BAE" w:rsidRDefault="006E6BAE" w:rsidP="00BC5F1E">
            <w:pPr>
              <w:ind w:right="866"/>
              <w:jc w:val="center"/>
            </w:pPr>
          </w:p>
        </w:tc>
        <w:tc>
          <w:tcPr>
            <w:tcW w:w="2268" w:type="dxa"/>
          </w:tcPr>
          <w:p w:rsidR="006E6BAE" w:rsidRDefault="006E6BAE" w:rsidP="00BC5F1E">
            <w:pPr>
              <w:ind w:right="866"/>
              <w:jc w:val="center"/>
            </w:pPr>
          </w:p>
        </w:tc>
      </w:tr>
      <w:tr w:rsidR="006E6BAE" w:rsidTr="006E6BAE">
        <w:tc>
          <w:tcPr>
            <w:tcW w:w="2610" w:type="dxa"/>
          </w:tcPr>
          <w:p w:rsidR="006E6BAE" w:rsidRDefault="006E6BAE" w:rsidP="00BC5F1E">
            <w:pPr>
              <w:ind w:right="866"/>
              <w:jc w:val="center"/>
            </w:pPr>
          </w:p>
          <w:p w:rsidR="006E6BAE" w:rsidRDefault="006E6BAE" w:rsidP="00BC5F1E">
            <w:pPr>
              <w:ind w:right="866"/>
              <w:jc w:val="center"/>
            </w:pPr>
          </w:p>
        </w:tc>
        <w:tc>
          <w:tcPr>
            <w:tcW w:w="2318" w:type="dxa"/>
          </w:tcPr>
          <w:p w:rsidR="006E6BAE" w:rsidRDefault="006E6BAE" w:rsidP="00BC5F1E">
            <w:pPr>
              <w:ind w:right="866"/>
              <w:jc w:val="center"/>
            </w:pPr>
          </w:p>
        </w:tc>
        <w:tc>
          <w:tcPr>
            <w:tcW w:w="2410" w:type="dxa"/>
          </w:tcPr>
          <w:p w:rsidR="006E6BAE" w:rsidRDefault="006E6BAE" w:rsidP="00BC5F1E">
            <w:pPr>
              <w:ind w:right="866"/>
              <w:jc w:val="center"/>
            </w:pPr>
          </w:p>
        </w:tc>
        <w:tc>
          <w:tcPr>
            <w:tcW w:w="2268" w:type="dxa"/>
          </w:tcPr>
          <w:p w:rsidR="006E6BAE" w:rsidRDefault="006E6BAE" w:rsidP="00BC5F1E">
            <w:pPr>
              <w:ind w:right="866"/>
              <w:jc w:val="center"/>
            </w:pPr>
          </w:p>
        </w:tc>
      </w:tr>
    </w:tbl>
    <w:p w:rsidR="00BC5F1E" w:rsidRDefault="00BC5F1E" w:rsidP="00B67B27">
      <w:pPr>
        <w:ind w:right="866"/>
      </w:pPr>
    </w:p>
    <w:sectPr w:rsidR="00BC5F1E" w:rsidSect="00AB5A0E">
      <w:headerReference w:type="first" r:id="rId7"/>
      <w:pgSz w:w="11906" w:h="16838" w:code="9"/>
      <w:pgMar w:top="1985" w:right="266" w:bottom="1559" w:left="284" w:header="284" w:footer="476" w:gutter="0"/>
      <w:paperSrc w:first="15" w:other="15"/>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25" w:rsidRDefault="00C44E25" w:rsidP="00B67B27">
      <w:r>
        <w:separator/>
      </w:r>
    </w:p>
  </w:endnote>
  <w:endnote w:type="continuationSeparator" w:id="0">
    <w:p w:rsidR="00C44E25" w:rsidRDefault="00C44E25" w:rsidP="00B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25" w:rsidRDefault="00C44E25" w:rsidP="00B67B27">
      <w:r>
        <w:separator/>
      </w:r>
    </w:p>
  </w:footnote>
  <w:footnote w:type="continuationSeparator" w:id="0">
    <w:p w:rsidR="00C44E25" w:rsidRDefault="00C44E25" w:rsidP="00B67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27" w:rsidRDefault="00B67B27">
    <w:pPr>
      <w:pStyle w:val="En-tte"/>
    </w:pPr>
  </w:p>
  <w:p w:rsidR="00B67B27" w:rsidRDefault="00B67B27" w:rsidP="00B67B27">
    <w:pPr>
      <w:pStyle w:val="En-tte"/>
      <w:jc w:val="center"/>
    </w:pPr>
    <w:r>
      <w:rPr>
        <w:noProof/>
      </w:rPr>
      <w:drawing>
        <wp:inline distT="0" distB="0" distL="0" distR="0">
          <wp:extent cx="790575" cy="1000125"/>
          <wp:effectExtent l="0" t="0" r="9525" b="9525"/>
          <wp:docPr id="5" name="Image 5" descr="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r>
      <w:t xml:space="preserve"> </w:t>
    </w:r>
    <w:r>
      <w:rPr>
        <w:noProof/>
      </w:rPr>
      <w:drawing>
        <wp:inline distT="0" distB="0" distL="0" distR="0">
          <wp:extent cx="876300" cy="1085850"/>
          <wp:effectExtent l="0" t="0" r="0" b="0"/>
          <wp:docPr id="4" name="Image 4" descr="C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1085850"/>
                  </a:xfrm>
                  <a:prstGeom prst="rect">
                    <a:avLst/>
                  </a:prstGeom>
                  <a:noFill/>
                  <a:ln>
                    <a:noFill/>
                  </a:ln>
                </pic:spPr>
              </pic:pic>
            </a:graphicData>
          </a:graphic>
        </wp:inline>
      </w:drawing>
    </w:r>
    <w:r>
      <w:t xml:space="preserve"> </w:t>
    </w:r>
    <w:r>
      <w:rPr>
        <w:noProof/>
      </w:rPr>
      <w:drawing>
        <wp:inline distT="0" distB="0" distL="0" distR="0">
          <wp:extent cx="1028700" cy="1028700"/>
          <wp:effectExtent l="0" t="0" r="0" b="0"/>
          <wp:docPr id="3" name="Image 3" descr="Logo 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noProof/>
      </w:rPr>
      <w:drawing>
        <wp:inline distT="0" distB="0" distL="0" distR="0">
          <wp:extent cx="1276350" cy="933450"/>
          <wp:effectExtent l="0" t="0" r="0" b="0"/>
          <wp:docPr id="2" name="Image 2" descr="S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933450"/>
                  </a:xfrm>
                  <a:prstGeom prst="rect">
                    <a:avLst/>
                  </a:prstGeom>
                  <a:noFill/>
                  <a:ln>
                    <a:noFill/>
                  </a:ln>
                </pic:spPr>
              </pic:pic>
            </a:graphicData>
          </a:graphic>
        </wp:inline>
      </w:drawing>
    </w:r>
    <w:r>
      <w:rPr>
        <w:noProof/>
      </w:rPr>
      <w:drawing>
        <wp:inline distT="0" distB="0" distL="0" distR="0">
          <wp:extent cx="1133475" cy="962025"/>
          <wp:effectExtent l="0" t="0" r="9525" b="9525"/>
          <wp:docPr id="1" name="Image 1" descr="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r>
      <w:t xml:space="preserve"> </w:t>
    </w:r>
  </w:p>
  <w:p w:rsidR="00B67B27" w:rsidRDefault="00B67B2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00"/>
    <w:rsid w:val="000A0C60"/>
    <w:rsid w:val="001F5B4E"/>
    <w:rsid w:val="00404FBD"/>
    <w:rsid w:val="00503048"/>
    <w:rsid w:val="006E6BAE"/>
    <w:rsid w:val="00716636"/>
    <w:rsid w:val="007932CD"/>
    <w:rsid w:val="00894A7E"/>
    <w:rsid w:val="00917379"/>
    <w:rsid w:val="00995800"/>
    <w:rsid w:val="009E1DE8"/>
    <w:rsid w:val="00A36718"/>
    <w:rsid w:val="00AB5A0E"/>
    <w:rsid w:val="00B00EDB"/>
    <w:rsid w:val="00B11543"/>
    <w:rsid w:val="00B3455F"/>
    <w:rsid w:val="00B67B27"/>
    <w:rsid w:val="00B94502"/>
    <w:rsid w:val="00BB0CAE"/>
    <w:rsid w:val="00BC5F1E"/>
    <w:rsid w:val="00BD6EB5"/>
    <w:rsid w:val="00C44E25"/>
    <w:rsid w:val="00CB6673"/>
    <w:rsid w:val="00D93AD0"/>
    <w:rsid w:val="00E03E8C"/>
    <w:rsid w:val="00E378F6"/>
    <w:rsid w:val="00F42DBB"/>
    <w:rsid w:val="00F66DBD"/>
    <w:rsid w:val="00FD0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B67B27"/>
    <w:pPr>
      <w:tabs>
        <w:tab w:val="center" w:pos="4536"/>
        <w:tab w:val="right" w:pos="9072"/>
      </w:tabs>
    </w:pPr>
  </w:style>
  <w:style w:type="character" w:customStyle="1" w:styleId="En-tteCar">
    <w:name w:val="En-tête Car"/>
    <w:basedOn w:val="Policepardfaut"/>
    <w:link w:val="En-tte"/>
    <w:uiPriority w:val="99"/>
    <w:rsid w:val="00B67B27"/>
    <w:rPr>
      <w:sz w:val="24"/>
      <w:szCs w:val="24"/>
    </w:rPr>
  </w:style>
  <w:style w:type="paragraph" w:styleId="Pieddepage">
    <w:name w:val="footer"/>
    <w:basedOn w:val="Normal"/>
    <w:link w:val="PieddepageCar"/>
    <w:rsid w:val="00B67B27"/>
    <w:pPr>
      <w:tabs>
        <w:tab w:val="center" w:pos="4536"/>
        <w:tab w:val="right" w:pos="9072"/>
      </w:tabs>
    </w:pPr>
  </w:style>
  <w:style w:type="character" w:customStyle="1" w:styleId="PieddepageCar">
    <w:name w:val="Pied de page Car"/>
    <w:basedOn w:val="Policepardfaut"/>
    <w:link w:val="Pieddepage"/>
    <w:rsid w:val="00B67B27"/>
    <w:rPr>
      <w:sz w:val="24"/>
      <w:szCs w:val="24"/>
    </w:rPr>
  </w:style>
  <w:style w:type="paragraph" w:styleId="Textedebulles">
    <w:name w:val="Balloon Text"/>
    <w:basedOn w:val="Normal"/>
    <w:link w:val="TextedebullesCar"/>
    <w:rsid w:val="00B67B27"/>
    <w:rPr>
      <w:rFonts w:ascii="Tahoma" w:hAnsi="Tahoma" w:cs="Tahoma"/>
      <w:sz w:val="16"/>
      <w:szCs w:val="16"/>
    </w:rPr>
  </w:style>
  <w:style w:type="character" w:customStyle="1" w:styleId="TextedebullesCar">
    <w:name w:val="Texte de bulles Car"/>
    <w:basedOn w:val="Policepardfaut"/>
    <w:link w:val="Textedebulles"/>
    <w:rsid w:val="00B67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B67B27"/>
    <w:pPr>
      <w:tabs>
        <w:tab w:val="center" w:pos="4536"/>
        <w:tab w:val="right" w:pos="9072"/>
      </w:tabs>
    </w:pPr>
  </w:style>
  <w:style w:type="character" w:customStyle="1" w:styleId="En-tteCar">
    <w:name w:val="En-tête Car"/>
    <w:basedOn w:val="Policepardfaut"/>
    <w:link w:val="En-tte"/>
    <w:uiPriority w:val="99"/>
    <w:rsid w:val="00B67B27"/>
    <w:rPr>
      <w:sz w:val="24"/>
      <w:szCs w:val="24"/>
    </w:rPr>
  </w:style>
  <w:style w:type="paragraph" w:styleId="Pieddepage">
    <w:name w:val="footer"/>
    <w:basedOn w:val="Normal"/>
    <w:link w:val="PieddepageCar"/>
    <w:rsid w:val="00B67B27"/>
    <w:pPr>
      <w:tabs>
        <w:tab w:val="center" w:pos="4536"/>
        <w:tab w:val="right" w:pos="9072"/>
      </w:tabs>
    </w:pPr>
  </w:style>
  <w:style w:type="character" w:customStyle="1" w:styleId="PieddepageCar">
    <w:name w:val="Pied de page Car"/>
    <w:basedOn w:val="Policepardfaut"/>
    <w:link w:val="Pieddepage"/>
    <w:rsid w:val="00B67B27"/>
    <w:rPr>
      <w:sz w:val="24"/>
      <w:szCs w:val="24"/>
    </w:rPr>
  </w:style>
  <w:style w:type="paragraph" w:styleId="Textedebulles">
    <w:name w:val="Balloon Text"/>
    <w:basedOn w:val="Normal"/>
    <w:link w:val="TextedebullesCar"/>
    <w:rsid w:val="00B67B27"/>
    <w:rPr>
      <w:rFonts w:ascii="Tahoma" w:hAnsi="Tahoma" w:cs="Tahoma"/>
      <w:sz w:val="16"/>
      <w:szCs w:val="16"/>
    </w:rPr>
  </w:style>
  <w:style w:type="character" w:customStyle="1" w:styleId="TextedebullesCar">
    <w:name w:val="Texte de bulles Car"/>
    <w:basedOn w:val="Policepardfaut"/>
    <w:link w:val="Textedebulles"/>
    <w:rsid w:val="00B67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PICOU Simon (UT093)</dc:creator>
  <cp:lastModifiedBy>BOELDIEU Julien (UD075)</cp:lastModifiedBy>
  <cp:revision>2</cp:revision>
  <dcterms:created xsi:type="dcterms:W3CDTF">2019-01-30T09:14:00Z</dcterms:created>
  <dcterms:modified xsi:type="dcterms:W3CDTF">2019-01-30T09:14:00Z</dcterms:modified>
</cp:coreProperties>
</file>