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E9" w:rsidRDefault="001D6475" w:rsidP="006F30E9">
      <w:pPr>
        <w:jc w:val="center"/>
        <w:outlineLvl w:val="0"/>
        <w:rPr>
          <w:rStyle w:val="Fort"/>
          <w:rFonts w:eastAsia="Calibri"/>
          <w:b w:val="0"/>
          <w:sz w:val="20"/>
          <w:szCs w:val="20"/>
        </w:rPr>
      </w:pPr>
      <w:r>
        <w:rPr>
          <w:noProof/>
          <w:szCs w:val="22"/>
          <w:lang w:eastAsia="fr-FR"/>
        </w:rPr>
        <w:drawing>
          <wp:inline distT="0" distB="0" distL="0" distR="0">
            <wp:extent cx="952500" cy="561975"/>
            <wp:effectExtent l="19050" t="0" r="0" b="0"/>
            <wp:docPr id="1" name="Image 22" descr="Description : 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Description : LOGORFQ"/>
                    <pic:cNvPicPr>
                      <a:picLocks noChangeAspect="1" noChangeArrowheads="1"/>
                    </pic:cNvPicPr>
                  </pic:nvPicPr>
                  <pic:blipFill>
                    <a:blip r:embed="rId7" cstate="print"/>
                    <a:srcRect/>
                    <a:stretch>
                      <a:fillRect/>
                    </a:stretch>
                  </pic:blipFill>
                  <pic:spPr bwMode="auto">
                    <a:xfrm>
                      <a:off x="0" y="0"/>
                      <a:ext cx="952500" cy="561975"/>
                    </a:xfrm>
                    <a:prstGeom prst="rect">
                      <a:avLst/>
                    </a:prstGeom>
                    <a:noFill/>
                    <a:ln w="9525">
                      <a:noFill/>
                      <a:miter lim="800000"/>
                      <a:headEnd/>
                      <a:tailEnd/>
                    </a:ln>
                  </pic:spPr>
                </pic:pic>
              </a:graphicData>
            </a:graphic>
          </wp:inline>
        </w:drawing>
      </w:r>
    </w:p>
    <w:p w:rsidR="006F30E9" w:rsidRDefault="006F30E9" w:rsidP="006F30E9">
      <w:pPr>
        <w:jc w:val="center"/>
        <w:outlineLvl w:val="0"/>
        <w:rPr>
          <w:rStyle w:val="Fort"/>
          <w:rFonts w:eastAsia="Calibri"/>
          <w:b w:val="0"/>
          <w:sz w:val="20"/>
          <w:szCs w:val="20"/>
        </w:rPr>
      </w:pPr>
    </w:p>
    <w:p w:rsidR="006F30E9" w:rsidRDefault="006F30E9" w:rsidP="006F30E9">
      <w:pPr>
        <w:jc w:val="center"/>
        <w:outlineLvl w:val="0"/>
        <w:rPr>
          <w:b/>
        </w:rPr>
      </w:pPr>
      <w:r>
        <w:rPr>
          <w:rStyle w:val="Fort"/>
          <w:rFonts w:eastAsia="Calibri"/>
          <w:b w:val="0"/>
          <w:sz w:val="20"/>
          <w:szCs w:val="20"/>
        </w:rPr>
        <w:t xml:space="preserve">MINISTÈRE </w:t>
      </w:r>
      <w:r>
        <w:rPr>
          <w:sz w:val="20"/>
          <w:szCs w:val="20"/>
        </w:rPr>
        <w:t>DES AFFAIRES SOCIALES ET DE LA SANTE</w:t>
      </w:r>
    </w:p>
    <w:p w:rsidR="006F30E9" w:rsidRDefault="006F30E9" w:rsidP="006F30E9">
      <w:pPr>
        <w:ind w:right="-426" w:hanging="567"/>
        <w:jc w:val="center"/>
        <w:outlineLvl w:val="0"/>
        <w:rPr>
          <w:rStyle w:val="Fort"/>
          <w:rFonts w:eastAsia="Calibri"/>
        </w:rPr>
      </w:pPr>
      <w:r>
        <w:rPr>
          <w:rStyle w:val="Fort"/>
          <w:rFonts w:eastAsia="Calibri"/>
          <w:b w:val="0"/>
          <w:sz w:val="20"/>
          <w:szCs w:val="20"/>
        </w:rPr>
        <w:t>MINISTÈRE DU TRAVAIL, DE L’EMPLOI ET DU DIALOGUE SOCIAL</w:t>
      </w:r>
    </w:p>
    <w:p w:rsidR="006F30E9" w:rsidRDefault="006F30E9" w:rsidP="006F30E9">
      <w:pPr>
        <w:ind w:right="-284" w:hanging="284"/>
        <w:jc w:val="center"/>
        <w:outlineLvl w:val="0"/>
        <w:rPr>
          <w:rStyle w:val="Fort"/>
          <w:rFonts w:eastAsia="Calibri"/>
          <w:b w:val="0"/>
          <w:sz w:val="20"/>
          <w:szCs w:val="20"/>
        </w:rPr>
      </w:pPr>
      <w:r>
        <w:rPr>
          <w:rStyle w:val="Fort"/>
          <w:rFonts w:eastAsia="Calibri"/>
          <w:b w:val="0"/>
          <w:sz w:val="20"/>
          <w:szCs w:val="20"/>
        </w:rPr>
        <w:t xml:space="preserve">MINISTÈRE DES DROITS DES FEMMES, DE LA VILLE, DE </w:t>
      </w:r>
      <w:smartTag w:uri="urn:schemas-microsoft-com:office:smarttags" w:element="PersonName">
        <w:smartTagPr>
          <w:attr w:name="ProductID" w:val="LA JEUNESSE ET DES"/>
        </w:smartTagPr>
        <w:r>
          <w:rPr>
            <w:rStyle w:val="Fort"/>
            <w:rFonts w:eastAsia="Calibri"/>
            <w:b w:val="0"/>
            <w:sz w:val="20"/>
            <w:szCs w:val="20"/>
          </w:rPr>
          <w:t>LA JEUNESSE ET DES</w:t>
        </w:r>
      </w:smartTag>
      <w:r>
        <w:rPr>
          <w:rStyle w:val="Fort"/>
          <w:rFonts w:eastAsia="Calibri"/>
          <w:b w:val="0"/>
          <w:sz w:val="20"/>
          <w:szCs w:val="20"/>
        </w:rPr>
        <w:t xml:space="preserve"> SPORTS</w:t>
      </w:r>
    </w:p>
    <w:p w:rsidR="00042C86" w:rsidRPr="00382F40" w:rsidRDefault="00042C86" w:rsidP="00B969FE">
      <w:pPr>
        <w:tabs>
          <w:tab w:val="left" w:pos="1935"/>
        </w:tabs>
        <w:ind w:right="-628"/>
        <w:jc w:val="both"/>
        <w:rPr>
          <w:sz w:val="4"/>
          <w:szCs w:val="4"/>
        </w:rPr>
      </w:pPr>
    </w:p>
    <w:p w:rsidR="00EA2C5E" w:rsidRDefault="00EA2C5E" w:rsidP="00AB0BFE">
      <w:pPr>
        <w:jc w:val="center"/>
        <w:rPr>
          <w:b/>
          <w:sz w:val="4"/>
          <w:szCs w:val="4"/>
        </w:rPr>
      </w:pPr>
    </w:p>
    <w:p w:rsidR="00382F40" w:rsidRDefault="00382F40" w:rsidP="00AB0BFE">
      <w:pPr>
        <w:jc w:val="center"/>
        <w:rPr>
          <w:b/>
        </w:rPr>
      </w:pPr>
    </w:p>
    <w:p w:rsidR="00EA2C5E" w:rsidRPr="00440B8F" w:rsidRDefault="00AB0BFE" w:rsidP="00440B8F">
      <w:pPr>
        <w:pBdr>
          <w:top w:val="single" w:sz="4" w:space="1" w:color="auto"/>
          <w:left w:val="single" w:sz="4" w:space="4" w:color="auto"/>
          <w:bottom w:val="single" w:sz="4" w:space="1" w:color="auto"/>
          <w:right w:val="single" w:sz="4" w:space="4" w:color="auto"/>
        </w:pBdr>
        <w:shd w:val="clear" w:color="auto" w:fill="CCFFCC"/>
        <w:ind w:left="1100" w:right="1072"/>
        <w:jc w:val="center"/>
        <w:rPr>
          <w:b/>
          <w:sz w:val="28"/>
          <w:szCs w:val="28"/>
        </w:rPr>
      </w:pPr>
      <w:r w:rsidRPr="00440B8F">
        <w:rPr>
          <w:b/>
          <w:sz w:val="28"/>
          <w:szCs w:val="28"/>
        </w:rPr>
        <w:t xml:space="preserve">PLAN D’ACTION POUR L’EGALITE FEMMES/HOMMES </w:t>
      </w:r>
    </w:p>
    <w:p w:rsidR="00EA2C5E" w:rsidRDefault="00F4601B" w:rsidP="00440B8F">
      <w:pPr>
        <w:pBdr>
          <w:top w:val="single" w:sz="4" w:space="1" w:color="auto"/>
          <w:left w:val="single" w:sz="4" w:space="4" w:color="auto"/>
          <w:bottom w:val="single" w:sz="4" w:space="1" w:color="auto"/>
          <w:right w:val="single" w:sz="4" w:space="4" w:color="auto"/>
        </w:pBdr>
        <w:shd w:val="clear" w:color="auto" w:fill="CCFFCC"/>
        <w:ind w:left="1100" w:right="1072"/>
        <w:jc w:val="center"/>
        <w:rPr>
          <w:b/>
          <w:sz w:val="28"/>
          <w:szCs w:val="28"/>
        </w:rPr>
      </w:pPr>
      <w:r w:rsidRPr="00440B8F">
        <w:rPr>
          <w:b/>
          <w:sz w:val="28"/>
          <w:szCs w:val="28"/>
        </w:rPr>
        <w:t>2015 – 2016</w:t>
      </w:r>
    </w:p>
    <w:p w:rsidR="001717C6" w:rsidRPr="00440B8F" w:rsidRDefault="001717C6" w:rsidP="00440B8F">
      <w:pPr>
        <w:pBdr>
          <w:top w:val="single" w:sz="4" w:space="1" w:color="auto"/>
          <w:left w:val="single" w:sz="4" w:space="4" w:color="auto"/>
          <w:bottom w:val="single" w:sz="4" w:space="1" w:color="auto"/>
          <w:right w:val="single" w:sz="4" w:space="4" w:color="auto"/>
        </w:pBdr>
        <w:shd w:val="clear" w:color="auto" w:fill="CCFFCC"/>
        <w:ind w:left="1100" w:right="1072"/>
        <w:jc w:val="center"/>
        <w:rPr>
          <w:b/>
          <w:sz w:val="28"/>
          <w:szCs w:val="28"/>
        </w:rPr>
      </w:pPr>
      <w:r>
        <w:rPr>
          <w:b/>
          <w:sz w:val="28"/>
          <w:szCs w:val="28"/>
        </w:rPr>
        <w:t>Etat d’exécution au 28 février 2015</w:t>
      </w:r>
    </w:p>
    <w:p w:rsidR="00605171" w:rsidRPr="00382F40" w:rsidRDefault="00382F40" w:rsidP="00382F40">
      <w:pPr>
        <w:ind w:left="-600"/>
        <w:rPr>
          <w:sz w:val="16"/>
          <w:szCs w:val="16"/>
        </w:rPr>
      </w:pPr>
      <w:r w:rsidRPr="00382F40">
        <w:rPr>
          <w:sz w:val="16"/>
          <w:szCs w:val="16"/>
        </w:rPr>
        <w:t>DRH/SD3B</w:t>
      </w:r>
      <w:r w:rsidR="0021749F">
        <w:rPr>
          <w:sz w:val="16"/>
          <w:szCs w:val="16"/>
        </w:rPr>
        <w:t xml:space="preserve"> et HFE</w:t>
      </w:r>
    </w:p>
    <w:p w:rsidR="00382F40" w:rsidRPr="00382F40" w:rsidRDefault="000076AA" w:rsidP="00382F40">
      <w:pPr>
        <w:ind w:left="-600"/>
        <w:rPr>
          <w:sz w:val="16"/>
          <w:szCs w:val="16"/>
        </w:rPr>
      </w:pPr>
      <w:r>
        <w:rPr>
          <w:sz w:val="16"/>
          <w:szCs w:val="16"/>
        </w:rPr>
        <w:t>Février 2015</w:t>
      </w:r>
    </w:p>
    <w:tbl>
      <w:tblPr>
        <w:tblW w:w="1800" w:type="dxa"/>
        <w:tblInd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
        <w:gridCol w:w="1346"/>
      </w:tblGrid>
      <w:tr w:rsidR="006F30E9" w:rsidRPr="00F839E4" w:rsidTr="00FE22BA">
        <w:trPr>
          <w:trHeight w:val="420"/>
        </w:trPr>
        <w:tc>
          <w:tcPr>
            <w:tcW w:w="426" w:type="dxa"/>
            <w:tcBorders>
              <w:bottom w:val="single" w:sz="4" w:space="0" w:color="auto"/>
            </w:tcBorders>
            <w:shd w:val="clear" w:color="auto" w:fill="81FF81"/>
            <w:vAlign w:val="center"/>
          </w:tcPr>
          <w:p w:rsidR="006F30E9" w:rsidRPr="00E10B2A" w:rsidRDefault="00D41219" w:rsidP="00D41219">
            <w:pPr>
              <w:jc w:val="center"/>
              <w:rPr>
                <w:b/>
              </w:rPr>
            </w:pPr>
            <w:r w:rsidRPr="00E10B2A">
              <w:rPr>
                <w:rFonts w:ascii="DejaVu Sans" w:hAnsi="DejaVu Sans" w:cs="DejaVu Sans"/>
                <w:b/>
              </w:rPr>
              <w:t>●</w:t>
            </w:r>
          </w:p>
        </w:tc>
        <w:tc>
          <w:tcPr>
            <w:tcW w:w="1374" w:type="dxa"/>
            <w:tcBorders>
              <w:top w:val="nil"/>
              <w:bottom w:val="nil"/>
              <w:right w:val="nil"/>
            </w:tcBorders>
            <w:vAlign w:val="center"/>
          </w:tcPr>
          <w:p w:rsidR="006F30E9" w:rsidRPr="006F30E9" w:rsidRDefault="006F30E9" w:rsidP="00FE22BA">
            <w:pPr>
              <w:jc w:val="center"/>
              <w:rPr>
                <w:sz w:val="18"/>
                <w:szCs w:val="18"/>
              </w:rPr>
            </w:pPr>
            <w:r w:rsidRPr="006F30E9">
              <w:rPr>
                <w:sz w:val="18"/>
                <w:szCs w:val="18"/>
              </w:rPr>
              <w:t>Réalisé</w:t>
            </w:r>
          </w:p>
        </w:tc>
      </w:tr>
      <w:tr w:rsidR="006F30E9" w:rsidRPr="00F839E4" w:rsidTr="00A8001A">
        <w:trPr>
          <w:trHeight w:val="420"/>
        </w:trPr>
        <w:tc>
          <w:tcPr>
            <w:tcW w:w="426" w:type="dxa"/>
            <w:tcBorders>
              <w:bottom w:val="single" w:sz="4" w:space="0" w:color="auto"/>
            </w:tcBorders>
            <w:shd w:val="clear" w:color="auto" w:fill="548DD4"/>
            <w:vAlign w:val="center"/>
          </w:tcPr>
          <w:p w:rsidR="006F30E9" w:rsidRPr="00E10B2A" w:rsidRDefault="00A8001A" w:rsidP="00D41219">
            <w:pPr>
              <w:jc w:val="center"/>
              <w:rPr>
                <w:b/>
              </w:rPr>
            </w:pPr>
            <w:r>
              <w:rPr>
                <w:b/>
              </w:rPr>
              <w:sym w:font="Monotype Sorts" w:char="F0DA"/>
            </w:r>
          </w:p>
        </w:tc>
        <w:tc>
          <w:tcPr>
            <w:tcW w:w="1374" w:type="dxa"/>
            <w:tcBorders>
              <w:top w:val="nil"/>
              <w:bottom w:val="nil"/>
              <w:right w:val="nil"/>
            </w:tcBorders>
            <w:shd w:val="clear" w:color="auto" w:fill="auto"/>
            <w:vAlign w:val="center"/>
          </w:tcPr>
          <w:p w:rsidR="006F30E9" w:rsidRPr="006F30E9" w:rsidRDefault="006F30E9" w:rsidP="00FE22BA">
            <w:pPr>
              <w:jc w:val="center"/>
              <w:rPr>
                <w:sz w:val="18"/>
                <w:szCs w:val="18"/>
              </w:rPr>
            </w:pPr>
            <w:r w:rsidRPr="006F30E9">
              <w:rPr>
                <w:sz w:val="18"/>
                <w:szCs w:val="18"/>
              </w:rPr>
              <w:t>En cours</w:t>
            </w:r>
          </w:p>
        </w:tc>
      </w:tr>
      <w:tr w:rsidR="006F30E9" w:rsidRPr="00F839E4" w:rsidTr="00A8001A">
        <w:trPr>
          <w:trHeight w:val="420"/>
        </w:trPr>
        <w:tc>
          <w:tcPr>
            <w:tcW w:w="426" w:type="dxa"/>
            <w:tcBorders>
              <w:bottom w:val="single" w:sz="4" w:space="0" w:color="auto"/>
            </w:tcBorders>
            <w:shd w:val="clear" w:color="auto" w:fill="FFFFCC"/>
            <w:vAlign w:val="center"/>
          </w:tcPr>
          <w:p w:rsidR="006F30E9" w:rsidRPr="00E10B2A" w:rsidRDefault="00A8001A" w:rsidP="00D41219">
            <w:pPr>
              <w:jc w:val="center"/>
              <w:rPr>
                <w:b/>
              </w:rPr>
            </w:pPr>
            <w:r>
              <w:rPr>
                <w:b/>
              </w:rPr>
              <w:sym w:font="Monotype Sorts" w:char="F050"/>
            </w:r>
          </w:p>
        </w:tc>
        <w:tc>
          <w:tcPr>
            <w:tcW w:w="1374" w:type="dxa"/>
            <w:tcBorders>
              <w:top w:val="nil"/>
              <w:bottom w:val="nil"/>
              <w:right w:val="nil"/>
            </w:tcBorders>
            <w:vAlign w:val="center"/>
          </w:tcPr>
          <w:p w:rsidR="006F30E9" w:rsidRPr="006F30E9" w:rsidRDefault="006F30E9" w:rsidP="00FE22BA">
            <w:pPr>
              <w:jc w:val="center"/>
              <w:rPr>
                <w:sz w:val="18"/>
                <w:szCs w:val="18"/>
              </w:rPr>
            </w:pPr>
            <w:r w:rsidRPr="006F30E9">
              <w:rPr>
                <w:sz w:val="18"/>
                <w:szCs w:val="18"/>
              </w:rPr>
              <w:t>Programmé</w:t>
            </w:r>
          </w:p>
        </w:tc>
      </w:tr>
      <w:tr w:rsidR="006F30E9" w:rsidRPr="00F839E4" w:rsidTr="00FE22BA">
        <w:trPr>
          <w:trHeight w:val="420"/>
        </w:trPr>
        <w:tc>
          <w:tcPr>
            <w:tcW w:w="426" w:type="dxa"/>
            <w:shd w:val="clear" w:color="auto" w:fill="FFCC00"/>
            <w:vAlign w:val="center"/>
          </w:tcPr>
          <w:p w:rsidR="006F30E9" w:rsidRPr="00E10B2A" w:rsidRDefault="00D41219" w:rsidP="00D41219">
            <w:pPr>
              <w:jc w:val="center"/>
              <w:rPr>
                <w:b/>
              </w:rPr>
            </w:pPr>
            <w:r w:rsidRPr="00E10B2A">
              <w:rPr>
                <w:rFonts w:ascii="DejaVu Sans" w:hAnsi="DejaVu Sans" w:cs="DejaVu Sans"/>
                <w:b/>
              </w:rPr>
              <w:t>▲</w:t>
            </w:r>
          </w:p>
        </w:tc>
        <w:tc>
          <w:tcPr>
            <w:tcW w:w="1374" w:type="dxa"/>
            <w:tcBorders>
              <w:top w:val="nil"/>
              <w:bottom w:val="nil"/>
              <w:right w:val="nil"/>
            </w:tcBorders>
            <w:vAlign w:val="center"/>
          </w:tcPr>
          <w:p w:rsidR="006F30E9" w:rsidRPr="006F30E9" w:rsidRDefault="006F30E9" w:rsidP="00FE22BA">
            <w:pPr>
              <w:jc w:val="center"/>
              <w:rPr>
                <w:sz w:val="18"/>
                <w:szCs w:val="18"/>
              </w:rPr>
            </w:pPr>
            <w:r w:rsidRPr="006F30E9">
              <w:rPr>
                <w:sz w:val="18"/>
                <w:szCs w:val="18"/>
              </w:rPr>
              <w:t>Point de vigilance</w:t>
            </w:r>
          </w:p>
        </w:tc>
      </w:tr>
    </w:tbl>
    <w:p w:rsidR="009D6634" w:rsidRDefault="009D6634" w:rsidP="006F30E9">
      <w:pPr>
        <w:ind w:left="7500"/>
        <w:rPr>
          <w:sz w:val="10"/>
          <w:szCs w:val="10"/>
        </w:rPr>
      </w:pPr>
    </w:p>
    <w:p w:rsidR="009D6634" w:rsidRPr="00382F40" w:rsidRDefault="009D6634" w:rsidP="006F30E9">
      <w:pPr>
        <w:ind w:left="7500"/>
        <w:rPr>
          <w:sz w:val="10"/>
          <w:szCs w:val="10"/>
        </w:rPr>
      </w:pPr>
    </w:p>
    <w:p w:rsidR="00092226" w:rsidRDefault="00DE3AC3" w:rsidP="00092226">
      <w:pPr>
        <w:jc w:val="both"/>
        <w:rPr>
          <w:b/>
          <w:sz w:val="20"/>
          <w:szCs w:val="20"/>
        </w:rPr>
      </w:pPr>
      <w:r w:rsidRPr="00824FEA">
        <w:rPr>
          <w:b/>
          <w:sz w:val="20"/>
          <w:szCs w:val="20"/>
        </w:rPr>
        <w:t xml:space="preserve">Ce plan d’action est commun à l’ensemble des ministères chargés des affaires sociales. Il s’inscrit dans le cadre du label diversité. </w:t>
      </w:r>
      <w:r w:rsidR="00092226" w:rsidRPr="00824FEA">
        <w:rPr>
          <w:b/>
          <w:sz w:val="20"/>
          <w:szCs w:val="20"/>
        </w:rPr>
        <w:t>Il</w:t>
      </w:r>
      <w:r w:rsidR="00092226">
        <w:rPr>
          <w:b/>
          <w:sz w:val="20"/>
          <w:szCs w:val="20"/>
        </w:rPr>
        <w:t xml:space="preserve"> met notamment en œuvre des mesures de la charte pour la promotion de l’égalité dans </w:t>
      </w:r>
      <w:smartTag w:uri="urn:schemas-microsoft-com:office:smarttags" w:element="PersonName">
        <w:smartTagPr>
          <w:attr w:name="ProductID" w:val="la Fonction Publique"/>
        </w:smartTagPr>
        <w:r w:rsidR="00092226">
          <w:rPr>
            <w:b/>
            <w:sz w:val="20"/>
            <w:szCs w:val="20"/>
          </w:rPr>
          <w:t>la Fonction Publique</w:t>
        </w:r>
      </w:smartTag>
      <w:r w:rsidR="00092226">
        <w:rPr>
          <w:b/>
          <w:sz w:val="20"/>
          <w:szCs w:val="20"/>
        </w:rPr>
        <w:t>, celles du protocole d’accord du 8 mars 2013 ainsi que celles de la loi du 4 août 2014</w:t>
      </w:r>
      <w:r w:rsidR="00092226" w:rsidRPr="00824FEA">
        <w:rPr>
          <w:b/>
          <w:sz w:val="20"/>
          <w:szCs w:val="20"/>
        </w:rPr>
        <w:t>.</w:t>
      </w:r>
      <w:r w:rsidR="00B728EC">
        <w:rPr>
          <w:b/>
          <w:sz w:val="20"/>
          <w:szCs w:val="20"/>
        </w:rPr>
        <w:t xml:space="preserve"> Taux de réalisation : </w:t>
      </w:r>
      <w:r w:rsidR="008152F7">
        <w:rPr>
          <w:b/>
          <w:sz w:val="20"/>
          <w:szCs w:val="20"/>
        </w:rPr>
        <w:t>26,5</w:t>
      </w:r>
      <w:r w:rsidR="00B728EC">
        <w:rPr>
          <w:b/>
          <w:sz w:val="20"/>
          <w:szCs w:val="20"/>
        </w:rPr>
        <w:t xml:space="preserve"> %</w:t>
      </w:r>
    </w:p>
    <w:p w:rsidR="000C6DA8" w:rsidRDefault="000C6DA8" w:rsidP="00DE3AC3">
      <w:pPr>
        <w:jc w:val="both"/>
        <w:rPr>
          <w:b/>
        </w:rPr>
      </w:pPr>
    </w:p>
    <w:p w:rsidR="000C5E2B" w:rsidRPr="00121F1D" w:rsidRDefault="001E27C4" w:rsidP="00DE3AC3">
      <w:pPr>
        <w:jc w:val="both"/>
        <w:rPr>
          <w:b/>
          <w:i/>
          <w:sz w:val="20"/>
          <w:szCs w:val="20"/>
        </w:rPr>
      </w:pPr>
      <w:r w:rsidRPr="00121F1D">
        <w:rPr>
          <w:b/>
          <w:i/>
          <w:sz w:val="20"/>
          <w:szCs w:val="20"/>
        </w:rPr>
        <w:t>Les actions reconduites apparaissent en italique</w:t>
      </w:r>
    </w:p>
    <w:p w:rsidR="00673907" w:rsidRDefault="00673907" w:rsidP="00673907">
      <w:pPr>
        <w:rPr>
          <w:b/>
        </w:rPr>
      </w:pP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4064"/>
        <w:gridCol w:w="300"/>
      </w:tblGrid>
      <w:tr w:rsidR="00237D05" w:rsidRPr="00F839E4" w:rsidTr="00894E24">
        <w:tc>
          <w:tcPr>
            <w:tcW w:w="5637" w:type="dxa"/>
            <w:tcBorders>
              <w:left w:val="nil"/>
              <w:bottom w:val="single" w:sz="24" w:space="0" w:color="800000"/>
              <w:right w:val="nil"/>
            </w:tcBorders>
          </w:tcPr>
          <w:p w:rsidR="00237D05" w:rsidRDefault="00237D05" w:rsidP="00AE52F4">
            <w:pPr>
              <w:rPr>
                <w:sz w:val="20"/>
                <w:szCs w:val="20"/>
              </w:rPr>
            </w:pPr>
          </w:p>
        </w:tc>
        <w:tc>
          <w:tcPr>
            <w:tcW w:w="4064" w:type="dxa"/>
            <w:tcBorders>
              <w:left w:val="nil"/>
              <w:bottom w:val="single" w:sz="24" w:space="0" w:color="800000"/>
              <w:right w:val="nil"/>
            </w:tcBorders>
          </w:tcPr>
          <w:p w:rsidR="00237D05" w:rsidRPr="00F839E4" w:rsidRDefault="00237D05" w:rsidP="00AE52F4">
            <w:pPr>
              <w:rPr>
                <w:b/>
                <w:sz w:val="18"/>
                <w:szCs w:val="18"/>
              </w:rPr>
            </w:pPr>
          </w:p>
        </w:tc>
        <w:tc>
          <w:tcPr>
            <w:tcW w:w="300" w:type="dxa"/>
            <w:tcBorders>
              <w:left w:val="nil"/>
              <w:bottom w:val="single" w:sz="24" w:space="0" w:color="800000"/>
              <w:right w:val="nil"/>
            </w:tcBorders>
            <w:vAlign w:val="center"/>
          </w:tcPr>
          <w:p w:rsidR="00237D05" w:rsidRPr="00E10B2A" w:rsidRDefault="00237D05" w:rsidP="00D41219">
            <w:pPr>
              <w:ind w:left="-57"/>
              <w:rPr>
                <w:rFonts w:ascii="DejaVu Sans" w:hAnsi="DejaVu Sans" w:cs="DejaVu Sans"/>
                <w:b/>
              </w:rPr>
            </w:pPr>
          </w:p>
        </w:tc>
      </w:tr>
      <w:tr w:rsidR="00DF30E1" w:rsidRPr="00F839E4" w:rsidTr="00894E24">
        <w:tc>
          <w:tcPr>
            <w:tcW w:w="5637" w:type="dxa"/>
            <w:tcBorders>
              <w:top w:val="single" w:sz="24" w:space="0" w:color="800000"/>
              <w:left w:val="nil"/>
              <w:right w:val="nil"/>
            </w:tcBorders>
          </w:tcPr>
          <w:p w:rsidR="003B6C47" w:rsidRDefault="003B6C47" w:rsidP="00AE52F4">
            <w:pPr>
              <w:rPr>
                <w:sz w:val="20"/>
                <w:szCs w:val="20"/>
              </w:rPr>
            </w:pPr>
          </w:p>
          <w:p w:rsidR="00FE22BA" w:rsidRDefault="00FE22BA" w:rsidP="00AE52F4">
            <w:pPr>
              <w:rPr>
                <w:sz w:val="20"/>
                <w:szCs w:val="20"/>
              </w:rPr>
            </w:pPr>
          </w:p>
          <w:p w:rsidR="00FE22BA" w:rsidRDefault="00FE22BA" w:rsidP="00AE52F4">
            <w:pPr>
              <w:rPr>
                <w:sz w:val="20"/>
                <w:szCs w:val="20"/>
              </w:rPr>
            </w:pPr>
          </w:p>
          <w:p w:rsidR="003B6C47" w:rsidRDefault="001D6475" w:rsidP="00AE52F4">
            <w:pPr>
              <w:rPr>
                <w:sz w:val="20"/>
                <w:szCs w:val="20"/>
              </w:rPr>
            </w:pPr>
            <w:r>
              <w:rPr>
                <w:noProof/>
                <w:sz w:val="20"/>
                <w:szCs w:val="20"/>
                <w:lang w:eastAsia="fr-FR"/>
              </w:rPr>
              <w:drawing>
                <wp:inline distT="0" distB="0" distL="0" distR="0">
                  <wp:extent cx="819150" cy="790575"/>
                  <wp:effectExtent l="19050" t="0" r="0" b="0"/>
                  <wp:docPr id="2" name="Image 2" descr="MC9003386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38624[1]"/>
                          <pic:cNvPicPr>
                            <a:picLocks noChangeAspect="1" noChangeArrowheads="1"/>
                          </pic:cNvPicPr>
                        </pic:nvPicPr>
                        <pic:blipFill>
                          <a:blip r:embed="rId8" cstate="print"/>
                          <a:srcRect/>
                          <a:stretch>
                            <a:fillRect/>
                          </a:stretch>
                        </pic:blipFill>
                        <pic:spPr bwMode="auto">
                          <a:xfrm>
                            <a:off x="0" y="0"/>
                            <a:ext cx="819150" cy="790575"/>
                          </a:xfrm>
                          <a:prstGeom prst="rect">
                            <a:avLst/>
                          </a:prstGeom>
                          <a:noFill/>
                          <a:ln w="9525">
                            <a:noFill/>
                            <a:miter lim="800000"/>
                            <a:headEnd/>
                            <a:tailEnd/>
                          </a:ln>
                        </pic:spPr>
                      </pic:pic>
                    </a:graphicData>
                  </a:graphic>
                </wp:inline>
              </w:drawing>
            </w:r>
          </w:p>
          <w:p w:rsidR="00DF30E1" w:rsidRPr="00982566" w:rsidRDefault="00DF30E1" w:rsidP="00AE52F4">
            <w:pPr>
              <w:rPr>
                <w:b/>
                <w:sz w:val="20"/>
                <w:szCs w:val="20"/>
              </w:rPr>
            </w:pPr>
          </w:p>
        </w:tc>
        <w:tc>
          <w:tcPr>
            <w:tcW w:w="4064" w:type="dxa"/>
            <w:tcBorders>
              <w:top w:val="single" w:sz="24" w:space="0" w:color="800000"/>
              <w:left w:val="nil"/>
              <w:right w:val="nil"/>
            </w:tcBorders>
            <w:vAlign w:val="center"/>
          </w:tcPr>
          <w:p w:rsidR="00DF30E1" w:rsidRPr="006F30E9" w:rsidRDefault="006F30E9" w:rsidP="00382F40">
            <w:pPr>
              <w:ind w:left="1943"/>
              <w:jc w:val="right"/>
              <w:rPr>
                <w:rFonts w:ascii="Arial" w:hAnsi="Arial" w:cs="Arial"/>
                <w:b/>
                <w:sz w:val="22"/>
                <w:szCs w:val="22"/>
              </w:rPr>
            </w:pPr>
            <w:r w:rsidRPr="006F30E9">
              <w:rPr>
                <w:rFonts w:ascii="Arial" w:hAnsi="Arial" w:cs="Arial"/>
                <w:b/>
                <w:sz w:val="22"/>
                <w:szCs w:val="22"/>
              </w:rPr>
              <w:t xml:space="preserve">Thème I </w:t>
            </w:r>
            <w:r>
              <w:rPr>
                <w:rFonts w:ascii="Arial" w:hAnsi="Arial" w:cs="Arial"/>
                <w:b/>
                <w:sz w:val="22"/>
                <w:szCs w:val="22"/>
              </w:rPr>
              <w:t>-</w:t>
            </w:r>
            <w:r w:rsidRPr="006F30E9">
              <w:rPr>
                <w:rFonts w:ascii="Arial" w:hAnsi="Arial" w:cs="Arial"/>
                <w:b/>
                <w:sz w:val="22"/>
                <w:szCs w:val="22"/>
              </w:rPr>
              <w:t xml:space="preserve"> Améliorer la connais</w:t>
            </w:r>
            <w:r w:rsidR="00E1728C">
              <w:rPr>
                <w:rFonts w:ascii="Arial" w:hAnsi="Arial" w:cs="Arial"/>
                <w:b/>
                <w:sz w:val="22"/>
                <w:szCs w:val="22"/>
              </w:rPr>
              <w:t xml:space="preserve">sance statistique et l’analyse </w:t>
            </w:r>
            <w:r w:rsidRPr="006F30E9">
              <w:rPr>
                <w:rFonts w:ascii="Arial" w:hAnsi="Arial" w:cs="Arial"/>
                <w:b/>
                <w:sz w:val="22"/>
                <w:szCs w:val="22"/>
              </w:rPr>
              <w:t>de la situation respective des femmes et des hommes.</w:t>
            </w:r>
          </w:p>
        </w:tc>
        <w:tc>
          <w:tcPr>
            <w:tcW w:w="300" w:type="dxa"/>
            <w:tcBorders>
              <w:top w:val="single" w:sz="24" w:space="0" w:color="800000"/>
              <w:left w:val="nil"/>
              <w:bottom w:val="single" w:sz="4" w:space="0" w:color="auto"/>
              <w:right w:val="nil"/>
            </w:tcBorders>
            <w:vAlign w:val="center"/>
          </w:tcPr>
          <w:p w:rsidR="00DF30E1" w:rsidRPr="00E10B2A" w:rsidRDefault="00DF30E1" w:rsidP="00D41219">
            <w:pPr>
              <w:ind w:left="-57"/>
              <w:rPr>
                <w:rFonts w:ascii="DejaVu Sans" w:hAnsi="DejaVu Sans" w:cs="DejaVu Sans"/>
                <w:b/>
              </w:rPr>
            </w:pPr>
          </w:p>
        </w:tc>
      </w:tr>
      <w:tr w:rsidR="00DD6732" w:rsidRPr="00F839E4" w:rsidTr="00146971">
        <w:trPr>
          <w:trHeight w:val="491"/>
        </w:trPr>
        <w:tc>
          <w:tcPr>
            <w:tcW w:w="9701" w:type="dxa"/>
            <w:gridSpan w:val="2"/>
          </w:tcPr>
          <w:p w:rsidR="00DD6732" w:rsidRPr="00805EC4" w:rsidRDefault="00DD6732" w:rsidP="00AE52F4">
            <w:pPr>
              <w:rPr>
                <w:b/>
                <w:sz w:val="20"/>
                <w:szCs w:val="20"/>
              </w:rPr>
            </w:pPr>
          </w:p>
          <w:p w:rsidR="00DD6732" w:rsidRPr="0012133E" w:rsidRDefault="00DD6732" w:rsidP="00D64B42">
            <w:pPr>
              <w:rPr>
                <w:b/>
                <w:sz w:val="20"/>
                <w:szCs w:val="20"/>
              </w:rPr>
            </w:pPr>
            <w:r w:rsidRPr="00805EC4">
              <w:rPr>
                <w:b/>
                <w:sz w:val="20"/>
                <w:szCs w:val="20"/>
              </w:rPr>
              <w:t>Mesure 1</w:t>
            </w:r>
            <w:r>
              <w:rPr>
                <w:b/>
                <w:sz w:val="20"/>
                <w:szCs w:val="20"/>
              </w:rPr>
              <w:t>.1</w:t>
            </w:r>
            <w:r w:rsidRPr="00805EC4">
              <w:rPr>
                <w:b/>
                <w:sz w:val="20"/>
                <w:szCs w:val="20"/>
              </w:rPr>
              <w:t xml:space="preserve"> : </w:t>
            </w:r>
            <w:r w:rsidR="00D64B42">
              <w:rPr>
                <w:b/>
                <w:sz w:val="20"/>
                <w:szCs w:val="20"/>
              </w:rPr>
              <w:t>Généraliser l’analyse sexuée</w:t>
            </w:r>
          </w:p>
        </w:tc>
        <w:tc>
          <w:tcPr>
            <w:tcW w:w="300" w:type="dxa"/>
            <w:tcBorders>
              <w:bottom w:val="single" w:sz="4" w:space="0" w:color="auto"/>
            </w:tcBorders>
            <w:shd w:val="clear" w:color="auto" w:fill="auto"/>
            <w:vAlign w:val="center"/>
          </w:tcPr>
          <w:p w:rsidR="00DD6732" w:rsidRPr="00E10B2A" w:rsidRDefault="00DD6732" w:rsidP="00D41219">
            <w:pPr>
              <w:ind w:left="-57"/>
              <w:rPr>
                <w:rFonts w:ascii="DejaVu Sans" w:hAnsi="DejaVu Sans" w:cs="DejaVu Sans"/>
                <w:b/>
              </w:rPr>
            </w:pPr>
          </w:p>
        </w:tc>
      </w:tr>
      <w:tr w:rsidR="00F4601B" w:rsidRPr="00F839E4" w:rsidTr="00146971">
        <w:tc>
          <w:tcPr>
            <w:tcW w:w="5637" w:type="dxa"/>
          </w:tcPr>
          <w:p w:rsidR="00F4601B" w:rsidRPr="00FC043D" w:rsidRDefault="003310CC" w:rsidP="003310CC">
            <w:pPr>
              <w:numPr>
                <w:ilvl w:val="0"/>
                <w:numId w:val="27"/>
              </w:numPr>
              <w:rPr>
                <w:b/>
                <w:i/>
                <w:sz w:val="20"/>
                <w:szCs w:val="20"/>
              </w:rPr>
            </w:pPr>
            <w:r w:rsidRPr="00FC043D">
              <w:rPr>
                <w:i/>
                <w:sz w:val="20"/>
                <w:szCs w:val="20"/>
              </w:rPr>
              <w:t xml:space="preserve">Intégrer </w:t>
            </w:r>
            <w:r w:rsidR="00092226" w:rsidRPr="00FC043D">
              <w:rPr>
                <w:i/>
                <w:sz w:val="20"/>
                <w:szCs w:val="20"/>
              </w:rPr>
              <w:t xml:space="preserve">dans les bilans sociaux et les rapports annuels de la diversité </w:t>
            </w:r>
            <w:r w:rsidRPr="00FC043D">
              <w:rPr>
                <w:i/>
                <w:sz w:val="20"/>
                <w:szCs w:val="20"/>
              </w:rPr>
              <w:t>les 30 indicateurs définis par le décret du 27 décembre 2013</w:t>
            </w:r>
            <w:r w:rsidR="00092226" w:rsidRPr="00FC043D">
              <w:rPr>
                <w:i/>
                <w:sz w:val="20"/>
                <w:szCs w:val="20"/>
              </w:rPr>
              <w:t>. Faire figurer dès le rapport annuel de la diversité (RAD) 2012/2013, les actions qui concourent, directement ou non, à une meilleure prise en compte de l’égalité entre les femmes et les hommes</w:t>
            </w:r>
          </w:p>
        </w:tc>
        <w:tc>
          <w:tcPr>
            <w:tcW w:w="4064" w:type="dxa"/>
          </w:tcPr>
          <w:p w:rsidR="00F4601B" w:rsidRDefault="000076AA" w:rsidP="00EC081F">
            <w:pPr>
              <w:jc w:val="both"/>
              <w:rPr>
                <w:sz w:val="20"/>
                <w:szCs w:val="20"/>
              </w:rPr>
            </w:pPr>
            <w:r>
              <w:rPr>
                <w:sz w:val="20"/>
                <w:szCs w:val="20"/>
              </w:rPr>
              <w:t>Un rapport de situation comparée relatif à l’égalité professionnelle femmes/hommes est intégré aux bilans sociaux 2013 des 2 secteurs. Il tient compte des indicateurs du protocole d’accord.</w:t>
            </w:r>
          </w:p>
        </w:tc>
        <w:tc>
          <w:tcPr>
            <w:tcW w:w="300" w:type="dxa"/>
            <w:tcBorders>
              <w:bottom w:val="single" w:sz="4" w:space="0" w:color="auto"/>
            </w:tcBorders>
            <w:shd w:val="clear" w:color="auto" w:fill="548DD4" w:themeFill="text2" w:themeFillTint="99"/>
            <w:vAlign w:val="center"/>
          </w:tcPr>
          <w:p w:rsidR="00F4601B" w:rsidRPr="00E10B2A" w:rsidRDefault="00146971" w:rsidP="00A02F58">
            <w:pPr>
              <w:jc w:val="center"/>
              <w:rPr>
                <w:rFonts w:ascii="DejaVu Sans" w:hAnsi="DejaVu Sans" w:cs="DejaVu Sans"/>
                <w:b/>
              </w:rPr>
            </w:pPr>
            <w:r>
              <w:rPr>
                <w:b/>
              </w:rPr>
              <w:sym w:font="Monotype Sorts" w:char="00DA"/>
            </w:r>
          </w:p>
        </w:tc>
      </w:tr>
      <w:tr w:rsidR="00B11713" w:rsidRPr="00F839E4" w:rsidTr="00A85412">
        <w:tc>
          <w:tcPr>
            <w:tcW w:w="5637" w:type="dxa"/>
          </w:tcPr>
          <w:p w:rsidR="00092226" w:rsidRDefault="00B11713" w:rsidP="009A4774">
            <w:pPr>
              <w:numPr>
                <w:ilvl w:val="0"/>
                <w:numId w:val="25"/>
              </w:numPr>
              <w:rPr>
                <w:sz w:val="20"/>
                <w:szCs w:val="20"/>
              </w:rPr>
            </w:pPr>
            <w:r>
              <w:rPr>
                <w:sz w:val="20"/>
                <w:szCs w:val="20"/>
              </w:rPr>
              <w:t xml:space="preserve">Faire une cartographie des </w:t>
            </w:r>
            <w:r w:rsidR="00092226">
              <w:rPr>
                <w:sz w:val="20"/>
                <w:szCs w:val="20"/>
              </w:rPr>
              <w:t>directions</w:t>
            </w:r>
            <w:r w:rsidR="00047391">
              <w:rPr>
                <w:sz w:val="20"/>
                <w:szCs w:val="20"/>
              </w:rPr>
              <w:t xml:space="preserve"> et des cabinets ministériels</w:t>
            </w:r>
            <w:r w:rsidR="00092226">
              <w:rPr>
                <w:sz w:val="20"/>
                <w:szCs w:val="20"/>
              </w:rPr>
              <w:t>, faisant apparaitre :</w:t>
            </w:r>
          </w:p>
          <w:p w:rsidR="0014266F" w:rsidRDefault="00092226" w:rsidP="00092226">
            <w:pPr>
              <w:ind w:left="360"/>
              <w:rPr>
                <w:sz w:val="20"/>
                <w:szCs w:val="20"/>
              </w:rPr>
            </w:pPr>
            <w:r>
              <w:rPr>
                <w:sz w:val="20"/>
                <w:szCs w:val="20"/>
              </w:rPr>
              <w:t>-</w:t>
            </w:r>
            <w:r w:rsidR="00B11713">
              <w:rPr>
                <w:sz w:val="20"/>
                <w:szCs w:val="20"/>
              </w:rPr>
              <w:t xml:space="preserve"> </w:t>
            </w:r>
            <w:r w:rsidR="0014266F">
              <w:rPr>
                <w:sz w:val="20"/>
                <w:szCs w:val="20"/>
              </w:rPr>
              <w:t xml:space="preserve">par année, </w:t>
            </w:r>
            <w:r>
              <w:rPr>
                <w:sz w:val="20"/>
                <w:szCs w:val="20"/>
              </w:rPr>
              <w:t>les nominations dans les emplois supérieurs qui s’avéreraient éloignées des objectifs d</w:t>
            </w:r>
            <w:r w:rsidR="0014266F">
              <w:rPr>
                <w:sz w:val="20"/>
                <w:szCs w:val="20"/>
              </w:rPr>
              <w:t xml:space="preserve">e l’article 56 de </w:t>
            </w:r>
            <w:smartTag w:uri="urn:schemas-microsoft-com:office:smarttags" w:element="PersonName">
              <w:smartTagPr>
                <w:attr w:name="ProductID" w:val="la loi Sauvadet"/>
              </w:smartTagPr>
              <w:r w:rsidR="0014266F">
                <w:rPr>
                  <w:sz w:val="20"/>
                  <w:szCs w:val="20"/>
                </w:rPr>
                <w:t>la loi</w:t>
              </w:r>
              <w:r w:rsidR="008011EE">
                <w:rPr>
                  <w:sz w:val="20"/>
                  <w:szCs w:val="20"/>
                </w:rPr>
                <w:t xml:space="preserve"> </w:t>
              </w:r>
              <w:r w:rsidR="0014266F">
                <w:rPr>
                  <w:sz w:val="20"/>
                  <w:szCs w:val="20"/>
                </w:rPr>
                <w:t>Sauvadet</w:t>
              </w:r>
            </w:smartTag>
            <w:r w:rsidR="0014266F">
              <w:rPr>
                <w:sz w:val="20"/>
                <w:szCs w:val="20"/>
              </w:rPr>
              <w:t xml:space="preserve"> </w:t>
            </w:r>
          </w:p>
          <w:p w:rsidR="0014266F" w:rsidRDefault="0014266F" w:rsidP="00092226">
            <w:pPr>
              <w:ind w:left="360"/>
              <w:rPr>
                <w:sz w:val="20"/>
                <w:szCs w:val="20"/>
              </w:rPr>
            </w:pPr>
            <w:r>
              <w:rPr>
                <w:sz w:val="20"/>
                <w:szCs w:val="20"/>
              </w:rPr>
              <w:t>- pour ces mêmes emplois la part de ceux tenus par des hommes et par des femmes</w:t>
            </w:r>
          </w:p>
          <w:p w:rsidR="00823145" w:rsidRDefault="0014266F" w:rsidP="00092226">
            <w:pPr>
              <w:ind w:left="360"/>
              <w:rPr>
                <w:sz w:val="20"/>
                <w:szCs w:val="20"/>
              </w:rPr>
            </w:pPr>
            <w:r>
              <w:rPr>
                <w:sz w:val="20"/>
                <w:szCs w:val="20"/>
              </w:rPr>
              <w:t xml:space="preserve">- l’état des emplois </w:t>
            </w:r>
            <w:r w:rsidR="008011EE">
              <w:rPr>
                <w:sz w:val="20"/>
                <w:szCs w:val="20"/>
              </w:rPr>
              <w:t xml:space="preserve">tenus par des femmes et des hommes sur les postes </w:t>
            </w:r>
            <w:r>
              <w:rPr>
                <w:sz w:val="20"/>
                <w:szCs w:val="20"/>
              </w:rPr>
              <w:t xml:space="preserve">d’encadrement intermédiaire </w:t>
            </w:r>
          </w:p>
          <w:p w:rsidR="00B11713" w:rsidRPr="00652CD6" w:rsidRDefault="00823145" w:rsidP="00092226">
            <w:pPr>
              <w:ind w:left="360"/>
              <w:rPr>
                <w:sz w:val="20"/>
                <w:szCs w:val="20"/>
              </w:rPr>
            </w:pPr>
            <w:r>
              <w:rPr>
                <w:sz w:val="20"/>
                <w:szCs w:val="20"/>
              </w:rPr>
              <w:t>- l’état global des emplois tenus par des femmes et des hommes, par direction et par catégorie A, B et C</w:t>
            </w:r>
          </w:p>
        </w:tc>
        <w:tc>
          <w:tcPr>
            <w:tcW w:w="4064" w:type="dxa"/>
          </w:tcPr>
          <w:p w:rsidR="00A85412" w:rsidRDefault="00BE00DA" w:rsidP="00A85412">
            <w:pPr>
              <w:rPr>
                <w:sz w:val="20"/>
                <w:szCs w:val="20"/>
              </w:rPr>
            </w:pPr>
            <w:r w:rsidRPr="00655235">
              <w:rPr>
                <w:b/>
                <w:sz w:val="20"/>
                <w:szCs w:val="20"/>
              </w:rPr>
              <w:t xml:space="preserve">2015 </w:t>
            </w:r>
            <w:r>
              <w:rPr>
                <w:sz w:val="20"/>
                <w:szCs w:val="20"/>
              </w:rPr>
              <w:t>(sous réserve de faisabilité voir bureau GPEC)</w:t>
            </w:r>
          </w:p>
          <w:p w:rsidR="001D6475" w:rsidRPr="00056846" w:rsidRDefault="001D6475" w:rsidP="00A85412">
            <w:pPr>
              <w:rPr>
                <w:sz w:val="20"/>
                <w:szCs w:val="20"/>
              </w:rPr>
            </w:pPr>
            <w:r w:rsidRPr="00056846">
              <w:rPr>
                <w:sz w:val="20"/>
                <w:szCs w:val="20"/>
              </w:rPr>
              <w:t xml:space="preserve">La partie du chantier relative à l’encadrement supérieur est réalisée </w:t>
            </w:r>
          </w:p>
        </w:tc>
        <w:tc>
          <w:tcPr>
            <w:tcW w:w="300" w:type="dxa"/>
            <w:tcBorders>
              <w:bottom w:val="single" w:sz="4" w:space="0" w:color="auto"/>
            </w:tcBorders>
            <w:shd w:val="clear" w:color="auto" w:fill="548DD4" w:themeFill="text2" w:themeFillTint="99"/>
            <w:vAlign w:val="center"/>
          </w:tcPr>
          <w:p w:rsidR="00B11713" w:rsidRPr="00E10B2A" w:rsidRDefault="00A85412" w:rsidP="00577575">
            <w:pPr>
              <w:ind w:left="-57"/>
              <w:rPr>
                <w:rFonts w:ascii="DejaVu Sans" w:hAnsi="DejaVu Sans" w:cs="DejaVu Sans"/>
                <w:b/>
              </w:rPr>
            </w:pPr>
            <w:r>
              <w:rPr>
                <w:b/>
              </w:rPr>
              <w:sym w:font="Monotype Sorts" w:char="F0DA"/>
            </w:r>
          </w:p>
        </w:tc>
      </w:tr>
      <w:tr w:rsidR="00F428DC" w:rsidRPr="00F839E4" w:rsidTr="00E9504E">
        <w:tc>
          <w:tcPr>
            <w:tcW w:w="5637" w:type="dxa"/>
          </w:tcPr>
          <w:p w:rsidR="00F428DC" w:rsidRPr="00144753" w:rsidRDefault="00F428DC" w:rsidP="00044769">
            <w:pPr>
              <w:numPr>
                <w:ilvl w:val="0"/>
                <w:numId w:val="25"/>
              </w:numPr>
              <w:rPr>
                <w:sz w:val="20"/>
                <w:szCs w:val="20"/>
              </w:rPr>
            </w:pPr>
            <w:r>
              <w:rPr>
                <w:sz w:val="20"/>
                <w:szCs w:val="20"/>
              </w:rPr>
              <w:t xml:space="preserve">Faire une cartographie des </w:t>
            </w:r>
            <w:r w:rsidR="00275979">
              <w:rPr>
                <w:sz w:val="20"/>
                <w:szCs w:val="20"/>
              </w:rPr>
              <w:t xml:space="preserve">commissions et comités, ainsi que des </w:t>
            </w:r>
            <w:r>
              <w:rPr>
                <w:sz w:val="20"/>
                <w:szCs w:val="20"/>
              </w:rPr>
              <w:t xml:space="preserve">conseils d’administration des établissements sous </w:t>
            </w:r>
            <w:r>
              <w:rPr>
                <w:sz w:val="20"/>
                <w:szCs w:val="20"/>
              </w:rPr>
              <w:lastRenderedPageBreak/>
              <w:t>tutelle</w:t>
            </w:r>
          </w:p>
        </w:tc>
        <w:tc>
          <w:tcPr>
            <w:tcW w:w="4064" w:type="dxa"/>
          </w:tcPr>
          <w:p w:rsidR="00F428DC" w:rsidRPr="00655235" w:rsidRDefault="00F428DC" w:rsidP="00AE52F4">
            <w:pPr>
              <w:rPr>
                <w:b/>
                <w:sz w:val="20"/>
                <w:szCs w:val="20"/>
              </w:rPr>
            </w:pPr>
            <w:r>
              <w:rPr>
                <w:b/>
                <w:sz w:val="20"/>
                <w:szCs w:val="20"/>
              </w:rPr>
              <w:lastRenderedPageBreak/>
              <w:t>2015</w:t>
            </w:r>
          </w:p>
        </w:tc>
        <w:tc>
          <w:tcPr>
            <w:tcW w:w="300" w:type="dxa"/>
            <w:tcBorders>
              <w:bottom w:val="single" w:sz="4" w:space="0" w:color="auto"/>
            </w:tcBorders>
            <w:shd w:val="clear" w:color="auto" w:fill="auto"/>
            <w:vAlign w:val="center"/>
          </w:tcPr>
          <w:p w:rsidR="00F428DC" w:rsidRPr="00E9504E" w:rsidRDefault="00F428DC" w:rsidP="00577575">
            <w:pPr>
              <w:ind w:left="-57"/>
              <w:rPr>
                <w:rFonts w:ascii="DejaVu Sans" w:hAnsi="DejaVu Sans" w:cs="DejaVu Sans"/>
                <w:b/>
              </w:rPr>
            </w:pPr>
          </w:p>
        </w:tc>
      </w:tr>
      <w:tr w:rsidR="00F4601B" w:rsidRPr="00F839E4" w:rsidTr="00A8001A">
        <w:tc>
          <w:tcPr>
            <w:tcW w:w="5637" w:type="dxa"/>
          </w:tcPr>
          <w:p w:rsidR="00F4601B" w:rsidRPr="00144753" w:rsidRDefault="00F4601B" w:rsidP="00044769">
            <w:pPr>
              <w:numPr>
                <w:ilvl w:val="0"/>
                <w:numId w:val="25"/>
              </w:numPr>
              <w:rPr>
                <w:sz w:val="20"/>
                <w:szCs w:val="20"/>
              </w:rPr>
            </w:pPr>
            <w:r w:rsidRPr="00144753">
              <w:rPr>
                <w:sz w:val="20"/>
                <w:szCs w:val="20"/>
              </w:rPr>
              <w:lastRenderedPageBreak/>
              <w:t xml:space="preserve">Vérifier si les informations </w:t>
            </w:r>
            <w:r w:rsidR="00144753">
              <w:rPr>
                <w:sz w:val="20"/>
                <w:szCs w:val="20"/>
              </w:rPr>
              <w:t>portées à la connaissance des</w:t>
            </w:r>
            <w:r w:rsidRPr="00144753">
              <w:rPr>
                <w:sz w:val="20"/>
                <w:szCs w:val="20"/>
              </w:rPr>
              <w:t xml:space="preserve"> assistants</w:t>
            </w:r>
            <w:r w:rsidR="00367D86" w:rsidRPr="00144753">
              <w:rPr>
                <w:sz w:val="20"/>
                <w:szCs w:val="20"/>
              </w:rPr>
              <w:t>(es)</w:t>
            </w:r>
            <w:r w:rsidRPr="00144753">
              <w:rPr>
                <w:sz w:val="20"/>
                <w:szCs w:val="20"/>
              </w:rPr>
              <w:t xml:space="preserve"> de service social et </w:t>
            </w:r>
            <w:r w:rsidR="00144753">
              <w:rPr>
                <w:sz w:val="20"/>
                <w:szCs w:val="20"/>
              </w:rPr>
              <w:t xml:space="preserve">des </w:t>
            </w:r>
            <w:r w:rsidRPr="00144753">
              <w:rPr>
                <w:sz w:val="20"/>
                <w:szCs w:val="20"/>
              </w:rPr>
              <w:t>équipe</w:t>
            </w:r>
            <w:r w:rsidR="00144753">
              <w:rPr>
                <w:sz w:val="20"/>
                <w:szCs w:val="20"/>
              </w:rPr>
              <w:t>s</w:t>
            </w:r>
            <w:r w:rsidRPr="00144753">
              <w:rPr>
                <w:sz w:val="20"/>
                <w:szCs w:val="20"/>
              </w:rPr>
              <w:t xml:space="preserve"> médicale</w:t>
            </w:r>
            <w:r w:rsidR="00144753">
              <w:rPr>
                <w:sz w:val="20"/>
                <w:szCs w:val="20"/>
              </w:rPr>
              <w:t>s</w:t>
            </w:r>
            <w:r w:rsidRPr="00144753">
              <w:rPr>
                <w:sz w:val="20"/>
                <w:szCs w:val="20"/>
              </w:rPr>
              <w:t xml:space="preserve"> sont </w:t>
            </w:r>
            <w:r w:rsidR="00144753">
              <w:rPr>
                <w:sz w:val="20"/>
                <w:szCs w:val="20"/>
              </w:rPr>
              <w:t xml:space="preserve"> identifiées et </w:t>
            </w:r>
            <w:r w:rsidRPr="00144753">
              <w:rPr>
                <w:sz w:val="20"/>
                <w:szCs w:val="20"/>
              </w:rPr>
              <w:t>comptabilisé</w:t>
            </w:r>
            <w:r w:rsidR="00E7474D">
              <w:rPr>
                <w:sz w:val="20"/>
                <w:szCs w:val="20"/>
              </w:rPr>
              <w:t>e</w:t>
            </w:r>
            <w:r w:rsidRPr="00144753">
              <w:rPr>
                <w:sz w:val="20"/>
                <w:szCs w:val="20"/>
              </w:rPr>
              <w:t>s dans leurs rapports périodiques</w:t>
            </w:r>
            <w:r w:rsidR="00144753">
              <w:rPr>
                <w:sz w:val="20"/>
                <w:szCs w:val="20"/>
              </w:rPr>
              <w:t xml:space="preserve"> s’agissant des situations de discriminations, harcèlement moral, harcèlement sexuel ou violences</w:t>
            </w:r>
          </w:p>
        </w:tc>
        <w:tc>
          <w:tcPr>
            <w:tcW w:w="4064" w:type="dxa"/>
          </w:tcPr>
          <w:p w:rsidR="00F4601B" w:rsidRPr="00655235" w:rsidRDefault="007E4986" w:rsidP="00AE52F4">
            <w:pPr>
              <w:rPr>
                <w:b/>
                <w:sz w:val="20"/>
                <w:szCs w:val="20"/>
              </w:rPr>
            </w:pPr>
            <w:r w:rsidRPr="00655235">
              <w:rPr>
                <w:b/>
                <w:sz w:val="20"/>
                <w:szCs w:val="20"/>
              </w:rPr>
              <w:t>2015</w:t>
            </w:r>
          </w:p>
        </w:tc>
        <w:tc>
          <w:tcPr>
            <w:tcW w:w="300" w:type="dxa"/>
            <w:tcBorders>
              <w:bottom w:val="single" w:sz="4" w:space="0" w:color="auto"/>
            </w:tcBorders>
            <w:shd w:val="clear" w:color="auto" w:fill="548DD4"/>
            <w:vAlign w:val="center"/>
          </w:tcPr>
          <w:p w:rsidR="00F4601B" w:rsidRPr="00E10B2A" w:rsidRDefault="00A8001A" w:rsidP="00577575">
            <w:pPr>
              <w:ind w:left="-57"/>
              <w:rPr>
                <w:rFonts w:ascii="DejaVu Sans" w:hAnsi="DejaVu Sans" w:cs="DejaVu Sans"/>
                <w:b/>
              </w:rPr>
            </w:pPr>
            <w:r>
              <w:rPr>
                <w:b/>
              </w:rPr>
              <w:sym w:font="Monotype Sorts" w:char="F0DA"/>
            </w:r>
          </w:p>
        </w:tc>
      </w:tr>
      <w:tr w:rsidR="00F4601B" w:rsidRPr="00F839E4" w:rsidTr="00E1728C">
        <w:trPr>
          <w:trHeight w:val="531"/>
        </w:trPr>
        <w:tc>
          <w:tcPr>
            <w:tcW w:w="9701" w:type="dxa"/>
            <w:gridSpan w:val="2"/>
          </w:tcPr>
          <w:p w:rsidR="00F4601B" w:rsidRDefault="00F4601B" w:rsidP="00AE52F4">
            <w:pPr>
              <w:rPr>
                <w:b/>
                <w:sz w:val="20"/>
                <w:szCs w:val="20"/>
              </w:rPr>
            </w:pPr>
          </w:p>
          <w:p w:rsidR="00F4601B" w:rsidRPr="009A4774" w:rsidRDefault="00F4601B" w:rsidP="00984CDB">
            <w:pPr>
              <w:rPr>
                <w:b/>
                <w:sz w:val="20"/>
                <w:szCs w:val="20"/>
              </w:rPr>
            </w:pPr>
            <w:r w:rsidRPr="00894E24">
              <w:rPr>
                <w:b/>
                <w:sz w:val="20"/>
                <w:szCs w:val="20"/>
              </w:rPr>
              <w:t xml:space="preserve">Mesure </w:t>
            </w:r>
            <w:r>
              <w:rPr>
                <w:b/>
                <w:sz w:val="20"/>
                <w:szCs w:val="20"/>
              </w:rPr>
              <w:t>1.</w:t>
            </w:r>
            <w:r w:rsidR="00C97CB7">
              <w:rPr>
                <w:b/>
                <w:sz w:val="20"/>
                <w:szCs w:val="20"/>
              </w:rPr>
              <w:t>2</w:t>
            </w:r>
            <w:r w:rsidRPr="00894E24">
              <w:rPr>
                <w:b/>
                <w:sz w:val="20"/>
                <w:szCs w:val="20"/>
              </w:rPr>
              <w:t xml:space="preserve"> : Cond</w:t>
            </w:r>
            <w:r w:rsidR="00984CDB">
              <w:rPr>
                <w:b/>
                <w:sz w:val="20"/>
                <w:szCs w:val="20"/>
              </w:rPr>
              <w:t xml:space="preserve">uire </w:t>
            </w:r>
            <w:r>
              <w:rPr>
                <w:b/>
                <w:sz w:val="20"/>
                <w:szCs w:val="20"/>
              </w:rPr>
              <w:t>des</w:t>
            </w:r>
            <w:r w:rsidRPr="00894E24">
              <w:rPr>
                <w:b/>
                <w:sz w:val="20"/>
                <w:szCs w:val="20"/>
              </w:rPr>
              <w:t xml:space="preserve"> étude</w:t>
            </w:r>
            <w:r>
              <w:rPr>
                <w:b/>
                <w:sz w:val="20"/>
                <w:szCs w:val="20"/>
              </w:rPr>
              <w:t>s spécifiques</w:t>
            </w:r>
          </w:p>
        </w:tc>
        <w:tc>
          <w:tcPr>
            <w:tcW w:w="300" w:type="dxa"/>
            <w:shd w:val="clear" w:color="auto" w:fill="auto"/>
            <w:vAlign w:val="center"/>
          </w:tcPr>
          <w:p w:rsidR="00F4601B" w:rsidRPr="00E10B2A" w:rsidRDefault="00F4601B" w:rsidP="00556FF7">
            <w:pPr>
              <w:ind w:left="-57"/>
              <w:rPr>
                <w:rFonts w:ascii="DejaVu Sans" w:hAnsi="DejaVu Sans" w:cs="DejaVu Sans"/>
                <w:b/>
              </w:rPr>
            </w:pPr>
          </w:p>
        </w:tc>
      </w:tr>
      <w:tr w:rsidR="00984CDB" w:rsidRPr="00F839E4" w:rsidTr="00A8001A">
        <w:tc>
          <w:tcPr>
            <w:tcW w:w="5637" w:type="dxa"/>
            <w:tcBorders>
              <w:top w:val="nil"/>
            </w:tcBorders>
          </w:tcPr>
          <w:p w:rsidR="00984CDB" w:rsidRDefault="00984CDB" w:rsidP="00984CDB">
            <w:pPr>
              <w:pStyle w:val="Paragraphedeliste1"/>
              <w:numPr>
                <w:ilvl w:val="0"/>
                <w:numId w:val="25"/>
              </w:numPr>
              <w:jc w:val="both"/>
            </w:pPr>
            <w:r w:rsidRPr="00FD0AE7">
              <w:t xml:space="preserve">Conduire une étude </w:t>
            </w:r>
            <w:r w:rsidR="0014266F">
              <w:t xml:space="preserve">sur les facteurs favorables et défavorables à un égal accès des femmes et des hommes </w:t>
            </w:r>
            <w:r w:rsidRPr="00FD0AE7">
              <w:t xml:space="preserve">aux fonctions d’encadrement supérieur (analyse des procédures et du rôle des acteurs, identifications des freins, </w:t>
            </w:r>
            <w:r w:rsidR="00AF1174">
              <w:t>effets de la mobilité…</w:t>
            </w:r>
            <w:r w:rsidRPr="00FD0AE7">
              <w:t>)</w:t>
            </w:r>
            <w:r>
              <w:t xml:space="preserve"> en AC et SD</w:t>
            </w:r>
          </w:p>
        </w:tc>
        <w:tc>
          <w:tcPr>
            <w:tcW w:w="4064" w:type="dxa"/>
            <w:tcBorders>
              <w:top w:val="nil"/>
            </w:tcBorders>
          </w:tcPr>
          <w:p w:rsidR="00984CDB" w:rsidRDefault="00823145" w:rsidP="00982566">
            <w:pPr>
              <w:rPr>
                <w:b/>
                <w:sz w:val="20"/>
                <w:szCs w:val="20"/>
              </w:rPr>
            </w:pPr>
            <w:r>
              <w:rPr>
                <w:b/>
                <w:sz w:val="20"/>
                <w:szCs w:val="20"/>
              </w:rPr>
              <w:t>(financement DREES)</w:t>
            </w:r>
          </w:p>
          <w:p w:rsidR="00D20500" w:rsidRDefault="007E4986" w:rsidP="00D20500">
            <w:pPr>
              <w:autoSpaceDE w:val="0"/>
              <w:autoSpaceDN w:val="0"/>
              <w:adjustRightInd w:val="0"/>
              <w:rPr>
                <w:b/>
                <w:sz w:val="20"/>
                <w:szCs w:val="20"/>
              </w:rPr>
            </w:pPr>
            <w:r>
              <w:rPr>
                <w:b/>
                <w:sz w:val="20"/>
                <w:szCs w:val="20"/>
              </w:rPr>
              <w:t>2015</w:t>
            </w:r>
          </w:p>
          <w:p w:rsidR="00D20500" w:rsidRPr="00D20500" w:rsidRDefault="00D20500" w:rsidP="00D20500">
            <w:pPr>
              <w:autoSpaceDE w:val="0"/>
              <w:autoSpaceDN w:val="0"/>
              <w:adjustRightInd w:val="0"/>
              <w:jc w:val="both"/>
              <w:rPr>
                <w:sz w:val="20"/>
                <w:szCs w:val="20"/>
              </w:rPr>
            </w:pPr>
            <w:r w:rsidRPr="00D20500">
              <w:rPr>
                <w:sz w:val="20"/>
                <w:szCs w:val="20"/>
              </w:rPr>
              <w:t>La DRE</w:t>
            </w:r>
            <w:r w:rsidR="00807488">
              <w:rPr>
                <w:sz w:val="20"/>
                <w:szCs w:val="20"/>
              </w:rPr>
              <w:t xml:space="preserve">ES, au titre des crédits 2015, </w:t>
            </w:r>
            <w:r w:rsidRPr="00D20500">
              <w:rPr>
                <w:sz w:val="20"/>
                <w:szCs w:val="20"/>
              </w:rPr>
              <w:t xml:space="preserve">a alloué à la DRH </w:t>
            </w:r>
            <w:r w:rsidRPr="00D20500">
              <w:rPr>
                <w:sz w:val="20"/>
                <w:szCs w:val="20"/>
                <w:lang w:eastAsia="fr-FR"/>
              </w:rPr>
              <w:t xml:space="preserve">un montant de </w:t>
            </w:r>
            <w:r w:rsidRPr="00D20500">
              <w:rPr>
                <w:bCs/>
                <w:sz w:val="20"/>
                <w:szCs w:val="20"/>
                <w:lang w:eastAsia="fr-FR"/>
              </w:rPr>
              <w:t xml:space="preserve">30 000€ </w:t>
            </w:r>
            <w:r w:rsidRPr="00D20500">
              <w:rPr>
                <w:sz w:val="20"/>
                <w:szCs w:val="20"/>
                <w:lang w:eastAsia="fr-FR"/>
              </w:rPr>
              <w:t>pour le financement de l'étude :</w:t>
            </w:r>
          </w:p>
          <w:p w:rsidR="00D20500" w:rsidRPr="00D20500" w:rsidRDefault="006F2807" w:rsidP="00D20500">
            <w:pPr>
              <w:autoSpaceDE w:val="0"/>
              <w:autoSpaceDN w:val="0"/>
              <w:adjustRightInd w:val="0"/>
              <w:jc w:val="both"/>
              <w:rPr>
                <w:sz w:val="20"/>
                <w:szCs w:val="20"/>
                <w:lang w:eastAsia="fr-FR"/>
              </w:rPr>
            </w:pPr>
            <w:r>
              <w:rPr>
                <w:sz w:val="20"/>
                <w:szCs w:val="20"/>
                <w:lang w:eastAsia="fr-FR"/>
              </w:rPr>
              <w:t>« </w:t>
            </w:r>
            <w:r w:rsidR="00D20500" w:rsidRPr="00D20500">
              <w:rPr>
                <w:sz w:val="20"/>
                <w:szCs w:val="20"/>
                <w:lang w:eastAsia="fr-FR"/>
              </w:rPr>
              <w:t>Mise en œuvre du décret n°2012-601 du 30 avril 2012 relatif aux modalités de nominations équilibrées entre les femmes et les hommes dans l’encadrement supérieur de la fonction publique. Conditions de faisabilité.</w:t>
            </w:r>
            <w:r>
              <w:rPr>
                <w:sz w:val="20"/>
                <w:szCs w:val="20"/>
                <w:lang w:eastAsia="fr-FR"/>
              </w:rPr>
              <w:t> »</w:t>
            </w:r>
          </w:p>
          <w:p w:rsidR="007E4986" w:rsidRPr="00F37140" w:rsidRDefault="00D20500" w:rsidP="00F37140">
            <w:pPr>
              <w:autoSpaceDE w:val="0"/>
              <w:autoSpaceDN w:val="0"/>
              <w:adjustRightInd w:val="0"/>
              <w:jc w:val="both"/>
              <w:rPr>
                <w:sz w:val="20"/>
                <w:szCs w:val="20"/>
                <w:lang w:eastAsia="fr-FR"/>
              </w:rPr>
            </w:pPr>
            <w:r w:rsidRPr="00D20500">
              <w:rPr>
                <w:sz w:val="20"/>
                <w:szCs w:val="20"/>
                <w:lang w:eastAsia="fr-FR"/>
              </w:rPr>
              <w:t>Le projet d'étude a été présenté au Comité des Programmes de la DREES le 28 janvier 2015.</w:t>
            </w:r>
          </w:p>
        </w:tc>
        <w:tc>
          <w:tcPr>
            <w:tcW w:w="300" w:type="dxa"/>
            <w:tcBorders>
              <w:top w:val="single" w:sz="4" w:space="0" w:color="auto"/>
              <w:bottom w:val="single" w:sz="4" w:space="0" w:color="auto"/>
            </w:tcBorders>
            <w:shd w:val="clear" w:color="auto" w:fill="548DD4"/>
            <w:vAlign w:val="center"/>
          </w:tcPr>
          <w:p w:rsidR="00984CDB" w:rsidRPr="00E10B2A" w:rsidRDefault="00A8001A" w:rsidP="00F24058">
            <w:pPr>
              <w:ind w:left="-57"/>
              <w:rPr>
                <w:rFonts w:ascii="DejaVu Sans" w:hAnsi="DejaVu Sans" w:cs="DejaVu Sans"/>
                <w:b/>
              </w:rPr>
            </w:pPr>
            <w:r>
              <w:rPr>
                <w:b/>
              </w:rPr>
              <w:sym w:font="Monotype Sorts" w:char="F0DA"/>
            </w:r>
          </w:p>
        </w:tc>
      </w:tr>
      <w:tr w:rsidR="009A43D6" w:rsidRPr="00F839E4" w:rsidTr="00F4601B">
        <w:tc>
          <w:tcPr>
            <w:tcW w:w="5637" w:type="dxa"/>
            <w:tcBorders>
              <w:top w:val="nil"/>
            </w:tcBorders>
          </w:tcPr>
          <w:p w:rsidR="009A43D6" w:rsidRPr="00FD0AE7" w:rsidRDefault="009A43D6" w:rsidP="00F25CFE">
            <w:pPr>
              <w:pStyle w:val="Paragraphedeliste1"/>
              <w:numPr>
                <w:ilvl w:val="0"/>
                <w:numId w:val="25"/>
              </w:numPr>
              <w:jc w:val="both"/>
            </w:pPr>
            <w:r>
              <w:t xml:space="preserve">Faire une étude rétrospective sur une période </w:t>
            </w:r>
            <w:r w:rsidR="00AF1174">
              <w:t>longue</w:t>
            </w:r>
            <w:r>
              <w:t xml:space="preserve"> de l’effet du congé maternité sur la carrière</w:t>
            </w:r>
          </w:p>
        </w:tc>
        <w:tc>
          <w:tcPr>
            <w:tcW w:w="4064" w:type="dxa"/>
            <w:tcBorders>
              <w:top w:val="nil"/>
            </w:tcBorders>
          </w:tcPr>
          <w:p w:rsidR="00F25CFE" w:rsidRDefault="00F25CFE" w:rsidP="00982566">
            <w:pPr>
              <w:rPr>
                <w:b/>
                <w:sz w:val="20"/>
                <w:szCs w:val="20"/>
              </w:rPr>
            </w:pPr>
            <w:r>
              <w:rPr>
                <w:b/>
                <w:sz w:val="20"/>
                <w:szCs w:val="20"/>
              </w:rPr>
              <w:t>(financement DREES ou DARES)</w:t>
            </w:r>
          </w:p>
          <w:p w:rsidR="009A43D6" w:rsidRPr="0057697E" w:rsidRDefault="00823145" w:rsidP="00982566">
            <w:pPr>
              <w:rPr>
                <w:b/>
                <w:sz w:val="20"/>
                <w:szCs w:val="20"/>
              </w:rPr>
            </w:pPr>
            <w:r>
              <w:rPr>
                <w:b/>
                <w:sz w:val="20"/>
                <w:szCs w:val="20"/>
              </w:rPr>
              <w:t>2016</w:t>
            </w:r>
          </w:p>
        </w:tc>
        <w:tc>
          <w:tcPr>
            <w:tcW w:w="300" w:type="dxa"/>
            <w:tcBorders>
              <w:top w:val="single" w:sz="4" w:space="0" w:color="auto"/>
              <w:bottom w:val="single" w:sz="4" w:space="0" w:color="auto"/>
            </w:tcBorders>
            <w:shd w:val="clear" w:color="auto" w:fill="auto"/>
            <w:vAlign w:val="center"/>
          </w:tcPr>
          <w:p w:rsidR="009A43D6" w:rsidRPr="00E10B2A" w:rsidRDefault="009A43D6" w:rsidP="00F24058">
            <w:pPr>
              <w:ind w:left="-57"/>
              <w:rPr>
                <w:rFonts w:ascii="DejaVu Sans" w:hAnsi="DejaVu Sans" w:cs="DejaVu Sans"/>
                <w:b/>
              </w:rPr>
            </w:pPr>
          </w:p>
        </w:tc>
      </w:tr>
      <w:tr w:rsidR="00F4601B" w:rsidRPr="00F839E4" w:rsidTr="00F4601B">
        <w:tc>
          <w:tcPr>
            <w:tcW w:w="5637" w:type="dxa"/>
            <w:tcBorders>
              <w:top w:val="nil"/>
            </w:tcBorders>
          </w:tcPr>
          <w:p w:rsidR="00F4601B" w:rsidRPr="009A4774" w:rsidRDefault="00F4601B" w:rsidP="00A241A1">
            <w:pPr>
              <w:pStyle w:val="Paragraphedeliste1"/>
              <w:numPr>
                <w:ilvl w:val="0"/>
                <w:numId w:val="25"/>
              </w:numPr>
              <w:jc w:val="both"/>
            </w:pPr>
            <w:r>
              <w:t xml:space="preserve">Réaliser une étude de </w:t>
            </w:r>
            <w:r w:rsidR="00263A62">
              <w:t xml:space="preserve">suivi de </w:t>
            </w:r>
            <w:r>
              <w:t>cohortes pour les IPAS</w:t>
            </w:r>
            <w:r w:rsidR="00A241A1">
              <w:t>S</w:t>
            </w:r>
            <w:r w:rsidR="00263A62">
              <w:t>,</w:t>
            </w:r>
            <w:r>
              <w:t xml:space="preserve"> les DT</w:t>
            </w:r>
            <w:r w:rsidR="00387EC0">
              <w:t>,</w:t>
            </w:r>
            <w:r>
              <w:t xml:space="preserve"> les </w:t>
            </w:r>
            <w:r w:rsidR="00823145">
              <w:t>IJS</w:t>
            </w:r>
            <w:r w:rsidR="00387EC0">
              <w:t xml:space="preserve"> et les attachés</w:t>
            </w:r>
            <w:r>
              <w:t xml:space="preserve"> afin d’identifier les </w:t>
            </w:r>
            <w:r w:rsidR="00AF1174">
              <w:t xml:space="preserve">évolutions </w:t>
            </w:r>
            <w:r>
              <w:t>de parcours femmes/hommes</w:t>
            </w:r>
            <w:r w:rsidR="00AF1174">
              <w:t xml:space="preserve"> liées aux changements de grade dans ces corps</w:t>
            </w:r>
          </w:p>
        </w:tc>
        <w:tc>
          <w:tcPr>
            <w:tcW w:w="4064" w:type="dxa"/>
            <w:tcBorders>
              <w:top w:val="nil"/>
            </w:tcBorders>
          </w:tcPr>
          <w:p w:rsidR="00655235" w:rsidRPr="0057697E" w:rsidRDefault="00655235" w:rsidP="00982566">
            <w:pPr>
              <w:rPr>
                <w:b/>
                <w:sz w:val="20"/>
                <w:szCs w:val="20"/>
              </w:rPr>
            </w:pPr>
            <w:r>
              <w:rPr>
                <w:b/>
                <w:sz w:val="20"/>
                <w:szCs w:val="20"/>
              </w:rPr>
              <w:t>2015/2016</w:t>
            </w:r>
          </w:p>
        </w:tc>
        <w:tc>
          <w:tcPr>
            <w:tcW w:w="300" w:type="dxa"/>
            <w:tcBorders>
              <w:top w:val="single" w:sz="4" w:space="0" w:color="auto"/>
              <w:bottom w:val="single" w:sz="4" w:space="0" w:color="auto"/>
            </w:tcBorders>
            <w:shd w:val="clear" w:color="auto" w:fill="auto"/>
            <w:vAlign w:val="center"/>
          </w:tcPr>
          <w:p w:rsidR="00F4601B" w:rsidRPr="00E10B2A" w:rsidRDefault="00F4601B" w:rsidP="00F24058">
            <w:pPr>
              <w:ind w:left="-57"/>
              <w:rPr>
                <w:rFonts w:ascii="DejaVu Sans" w:hAnsi="DejaVu Sans" w:cs="DejaVu Sans"/>
                <w:b/>
              </w:rPr>
            </w:pPr>
          </w:p>
        </w:tc>
      </w:tr>
      <w:tr w:rsidR="00F4601B" w:rsidRPr="00F839E4" w:rsidTr="00F4601B">
        <w:tc>
          <w:tcPr>
            <w:tcW w:w="5637" w:type="dxa"/>
            <w:tcBorders>
              <w:top w:val="nil"/>
            </w:tcBorders>
          </w:tcPr>
          <w:p w:rsidR="00F4601B" w:rsidRPr="00F839E4" w:rsidRDefault="00AD7DFC" w:rsidP="00AD7DFC">
            <w:pPr>
              <w:pStyle w:val="Paragraphedeliste1"/>
              <w:numPr>
                <w:ilvl w:val="0"/>
                <w:numId w:val="25"/>
              </w:numPr>
              <w:jc w:val="both"/>
            </w:pPr>
            <w:r>
              <w:t xml:space="preserve">Comparer le taux d’accident </w:t>
            </w:r>
            <w:r w:rsidR="00F4601B">
              <w:t>de trajet</w:t>
            </w:r>
            <w:r>
              <w:t>, de service</w:t>
            </w:r>
            <w:r w:rsidR="00F4601B">
              <w:t xml:space="preserve"> et de travail</w:t>
            </w:r>
            <w:r>
              <w:t xml:space="preserve"> entre les femmes et les hommes. Les résultats seront présentés par catégories d’âge</w:t>
            </w:r>
          </w:p>
        </w:tc>
        <w:tc>
          <w:tcPr>
            <w:tcW w:w="4064" w:type="dxa"/>
            <w:tcBorders>
              <w:top w:val="nil"/>
            </w:tcBorders>
          </w:tcPr>
          <w:p w:rsidR="00F4601B" w:rsidRPr="0057697E" w:rsidRDefault="00823145" w:rsidP="00982566">
            <w:pPr>
              <w:rPr>
                <w:b/>
                <w:sz w:val="20"/>
                <w:szCs w:val="20"/>
              </w:rPr>
            </w:pPr>
            <w:r>
              <w:rPr>
                <w:b/>
                <w:sz w:val="20"/>
                <w:szCs w:val="20"/>
              </w:rPr>
              <w:t>2016</w:t>
            </w:r>
          </w:p>
        </w:tc>
        <w:tc>
          <w:tcPr>
            <w:tcW w:w="300" w:type="dxa"/>
            <w:tcBorders>
              <w:top w:val="single" w:sz="4" w:space="0" w:color="auto"/>
              <w:bottom w:val="single" w:sz="4" w:space="0" w:color="auto"/>
            </w:tcBorders>
            <w:shd w:val="clear" w:color="auto" w:fill="auto"/>
            <w:vAlign w:val="center"/>
          </w:tcPr>
          <w:p w:rsidR="00F4601B" w:rsidRPr="00E10B2A" w:rsidRDefault="00F4601B" w:rsidP="00F24058">
            <w:pPr>
              <w:ind w:left="-57"/>
              <w:rPr>
                <w:rFonts w:ascii="DejaVu Sans" w:hAnsi="DejaVu Sans" w:cs="DejaVu Sans"/>
                <w:b/>
              </w:rPr>
            </w:pPr>
          </w:p>
        </w:tc>
      </w:tr>
      <w:tr w:rsidR="00A876FC" w:rsidRPr="00F839E4" w:rsidTr="00F4601B">
        <w:tc>
          <w:tcPr>
            <w:tcW w:w="5637" w:type="dxa"/>
            <w:tcBorders>
              <w:top w:val="nil"/>
            </w:tcBorders>
          </w:tcPr>
          <w:p w:rsidR="00A876FC" w:rsidRPr="00823145" w:rsidRDefault="00A876FC" w:rsidP="00A241A1">
            <w:pPr>
              <w:pStyle w:val="Paragraphedeliste1"/>
              <w:numPr>
                <w:ilvl w:val="0"/>
                <w:numId w:val="25"/>
              </w:numPr>
              <w:jc w:val="both"/>
            </w:pPr>
            <w:r w:rsidRPr="00823145">
              <w:t xml:space="preserve">Conduire une étude sur les régimes indemnitaires </w:t>
            </w:r>
            <w:r w:rsidR="00A241A1" w:rsidRPr="00823145">
              <w:t>(</w:t>
            </w:r>
            <w:r w:rsidRPr="00823145">
              <w:t xml:space="preserve">écarts de part variable à fonction égale en </w:t>
            </w:r>
            <w:r w:rsidR="00A241A1" w:rsidRPr="00823145">
              <w:t>AC</w:t>
            </w:r>
            <w:r w:rsidRPr="00823145">
              <w:t xml:space="preserve">, dans les </w:t>
            </w:r>
            <w:r w:rsidR="00A241A1" w:rsidRPr="00823145">
              <w:t>SD</w:t>
            </w:r>
            <w:r w:rsidR="00AF1174" w:rsidRPr="00823145">
              <w:t xml:space="preserve"> en intégrant l’effet des temps partiels</w:t>
            </w:r>
            <w:r w:rsidR="00802920">
              <w:t>)</w:t>
            </w:r>
          </w:p>
        </w:tc>
        <w:tc>
          <w:tcPr>
            <w:tcW w:w="4064" w:type="dxa"/>
            <w:tcBorders>
              <w:top w:val="nil"/>
            </w:tcBorders>
          </w:tcPr>
          <w:p w:rsidR="00A876FC" w:rsidRPr="0057697E" w:rsidRDefault="00655235" w:rsidP="00982566">
            <w:pPr>
              <w:rPr>
                <w:b/>
                <w:sz w:val="20"/>
                <w:szCs w:val="20"/>
              </w:rPr>
            </w:pPr>
            <w:r>
              <w:rPr>
                <w:b/>
                <w:sz w:val="20"/>
                <w:szCs w:val="20"/>
              </w:rPr>
              <w:t>2016</w:t>
            </w:r>
          </w:p>
        </w:tc>
        <w:tc>
          <w:tcPr>
            <w:tcW w:w="300" w:type="dxa"/>
            <w:tcBorders>
              <w:top w:val="single" w:sz="4" w:space="0" w:color="auto"/>
              <w:bottom w:val="single" w:sz="4" w:space="0" w:color="auto"/>
            </w:tcBorders>
            <w:shd w:val="clear" w:color="auto" w:fill="auto"/>
            <w:vAlign w:val="center"/>
          </w:tcPr>
          <w:p w:rsidR="00A876FC" w:rsidRPr="00E10B2A" w:rsidRDefault="00A876FC" w:rsidP="00F24058">
            <w:pPr>
              <w:ind w:left="-57"/>
              <w:rPr>
                <w:rFonts w:ascii="DejaVu Sans" w:hAnsi="DejaVu Sans" w:cs="DejaVu Sans"/>
                <w:b/>
              </w:rPr>
            </w:pPr>
          </w:p>
        </w:tc>
      </w:tr>
      <w:tr w:rsidR="00F4601B" w:rsidRPr="00F839E4" w:rsidTr="00AE2620">
        <w:trPr>
          <w:trHeight w:val="454"/>
        </w:trPr>
        <w:tc>
          <w:tcPr>
            <w:tcW w:w="9701" w:type="dxa"/>
            <w:gridSpan w:val="2"/>
            <w:tcBorders>
              <w:bottom w:val="single" w:sz="4" w:space="0" w:color="auto"/>
            </w:tcBorders>
          </w:tcPr>
          <w:p w:rsidR="00F4601B" w:rsidRPr="00894E24" w:rsidRDefault="00F4601B" w:rsidP="00AE52F4">
            <w:pPr>
              <w:rPr>
                <w:b/>
                <w:sz w:val="20"/>
                <w:szCs w:val="20"/>
              </w:rPr>
            </w:pPr>
          </w:p>
          <w:p w:rsidR="00F4601B" w:rsidRPr="009A4774" w:rsidRDefault="00F4601B" w:rsidP="00C2310E">
            <w:pPr>
              <w:rPr>
                <w:b/>
                <w:sz w:val="20"/>
                <w:szCs w:val="20"/>
              </w:rPr>
            </w:pPr>
            <w:r w:rsidRPr="00894E24">
              <w:rPr>
                <w:b/>
                <w:sz w:val="20"/>
                <w:szCs w:val="20"/>
              </w:rPr>
              <w:t xml:space="preserve">Mesure </w:t>
            </w:r>
            <w:r>
              <w:rPr>
                <w:b/>
                <w:sz w:val="20"/>
                <w:szCs w:val="20"/>
              </w:rPr>
              <w:t>1.</w:t>
            </w:r>
            <w:r w:rsidR="00C97CB7">
              <w:rPr>
                <w:b/>
                <w:sz w:val="20"/>
                <w:szCs w:val="20"/>
              </w:rPr>
              <w:t>3</w:t>
            </w:r>
            <w:r w:rsidR="00C2310E">
              <w:rPr>
                <w:b/>
                <w:sz w:val="20"/>
                <w:szCs w:val="20"/>
              </w:rPr>
              <w:t xml:space="preserve"> : Réaliser un baromètre social</w:t>
            </w:r>
            <w:r w:rsidR="00667A49">
              <w:rPr>
                <w:b/>
                <w:sz w:val="20"/>
                <w:szCs w:val="20"/>
              </w:rPr>
              <w:t xml:space="preserve"> incluant des questions </w:t>
            </w:r>
            <w:r w:rsidR="0083306E">
              <w:rPr>
                <w:b/>
                <w:sz w:val="20"/>
                <w:szCs w:val="20"/>
              </w:rPr>
              <w:t>sur l’</w:t>
            </w:r>
            <w:r w:rsidR="00667A49">
              <w:rPr>
                <w:b/>
                <w:sz w:val="20"/>
                <w:szCs w:val="20"/>
              </w:rPr>
              <w:t>égalité</w:t>
            </w:r>
          </w:p>
        </w:tc>
        <w:tc>
          <w:tcPr>
            <w:tcW w:w="300" w:type="dxa"/>
            <w:tcBorders>
              <w:bottom w:val="single" w:sz="4" w:space="0" w:color="auto"/>
            </w:tcBorders>
            <w:shd w:val="clear" w:color="auto" w:fill="auto"/>
            <w:vAlign w:val="center"/>
          </w:tcPr>
          <w:p w:rsidR="00F4601B" w:rsidRPr="00E10B2A" w:rsidRDefault="00F4601B" w:rsidP="00577575">
            <w:pPr>
              <w:ind w:left="-57"/>
              <w:rPr>
                <w:rFonts w:ascii="DejaVu Sans" w:hAnsi="DejaVu Sans" w:cs="DejaVu Sans"/>
                <w:b/>
              </w:rPr>
            </w:pPr>
          </w:p>
        </w:tc>
      </w:tr>
      <w:tr w:rsidR="001B32F2" w:rsidRPr="00F839E4" w:rsidTr="00A8001A">
        <w:tc>
          <w:tcPr>
            <w:tcW w:w="5637" w:type="dxa"/>
            <w:tcBorders>
              <w:bottom w:val="single" w:sz="4" w:space="0" w:color="auto"/>
            </w:tcBorders>
          </w:tcPr>
          <w:p w:rsidR="001B32F2" w:rsidRDefault="001B32F2" w:rsidP="000D1CDE">
            <w:pPr>
              <w:numPr>
                <w:ilvl w:val="0"/>
                <w:numId w:val="25"/>
              </w:numPr>
              <w:rPr>
                <w:sz w:val="20"/>
                <w:szCs w:val="20"/>
              </w:rPr>
            </w:pPr>
            <w:r>
              <w:rPr>
                <w:sz w:val="20"/>
                <w:szCs w:val="20"/>
              </w:rPr>
              <w:t xml:space="preserve">Intégrer </w:t>
            </w:r>
            <w:r w:rsidRPr="00AC353D">
              <w:rPr>
                <w:sz w:val="20"/>
                <w:szCs w:val="20"/>
              </w:rPr>
              <w:t xml:space="preserve">dans le questionnaire </w:t>
            </w:r>
            <w:r>
              <w:rPr>
                <w:sz w:val="20"/>
                <w:szCs w:val="20"/>
              </w:rPr>
              <w:t xml:space="preserve">du baromètre </w:t>
            </w:r>
            <w:r w:rsidRPr="00AC353D">
              <w:rPr>
                <w:sz w:val="20"/>
                <w:szCs w:val="20"/>
              </w:rPr>
              <w:t xml:space="preserve">la situation de travail, le temps de travail, la conciliation vie professionnelle/vie personnelle, la parentalité ainsi </w:t>
            </w:r>
            <w:r>
              <w:rPr>
                <w:sz w:val="20"/>
                <w:szCs w:val="20"/>
              </w:rPr>
              <w:t xml:space="preserve">que le </w:t>
            </w:r>
            <w:r w:rsidRPr="00AC353D">
              <w:rPr>
                <w:sz w:val="20"/>
                <w:szCs w:val="20"/>
              </w:rPr>
              <w:t xml:space="preserve">harcèlement moral et </w:t>
            </w:r>
            <w:r>
              <w:rPr>
                <w:sz w:val="20"/>
                <w:szCs w:val="20"/>
              </w:rPr>
              <w:t>le</w:t>
            </w:r>
            <w:r w:rsidRPr="00AC353D">
              <w:rPr>
                <w:sz w:val="20"/>
                <w:szCs w:val="20"/>
              </w:rPr>
              <w:t xml:space="preserve"> harcèlement sexuel. </w:t>
            </w:r>
            <w:r>
              <w:rPr>
                <w:sz w:val="20"/>
                <w:szCs w:val="20"/>
              </w:rPr>
              <w:t>Voir la faisabilité d’y inclure une question sur les violences</w:t>
            </w:r>
          </w:p>
        </w:tc>
        <w:tc>
          <w:tcPr>
            <w:tcW w:w="4064" w:type="dxa"/>
            <w:tcBorders>
              <w:bottom w:val="single" w:sz="4" w:space="0" w:color="auto"/>
            </w:tcBorders>
          </w:tcPr>
          <w:p w:rsidR="001B32F2" w:rsidRPr="00655235" w:rsidRDefault="001B32F2" w:rsidP="00C2310E">
            <w:pPr>
              <w:rPr>
                <w:b/>
                <w:sz w:val="20"/>
                <w:szCs w:val="20"/>
              </w:rPr>
            </w:pPr>
            <w:r w:rsidRPr="00655235">
              <w:rPr>
                <w:b/>
                <w:sz w:val="20"/>
                <w:szCs w:val="20"/>
              </w:rPr>
              <w:t>2015</w:t>
            </w:r>
          </w:p>
        </w:tc>
        <w:tc>
          <w:tcPr>
            <w:tcW w:w="300" w:type="dxa"/>
            <w:tcBorders>
              <w:bottom w:val="single" w:sz="4" w:space="0" w:color="auto"/>
            </w:tcBorders>
            <w:shd w:val="clear" w:color="auto" w:fill="548DD4"/>
            <w:vAlign w:val="center"/>
          </w:tcPr>
          <w:p w:rsidR="001B32F2" w:rsidRPr="00E10B2A" w:rsidRDefault="00A8001A" w:rsidP="001B32F2">
            <w:pPr>
              <w:ind w:left="-57"/>
              <w:rPr>
                <w:rFonts w:ascii="DejaVu Sans" w:hAnsi="DejaVu Sans" w:cs="DejaVu Sans"/>
                <w:b/>
              </w:rPr>
            </w:pPr>
            <w:r>
              <w:rPr>
                <w:b/>
              </w:rPr>
              <w:sym w:font="Monotype Sorts" w:char="F0DA"/>
            </w:r>
          </w:p>
        </w:tc>
      </w:tr>
      <w:tr w:rsidR="001B32F2" w:rsidRPr="00F839E4" w:rsidTr="00894E24">
        <w:tc>
          <w:tcPr>
            <w:tcW w:w="5637" w:type="dxa"/>
            <w:tcBorders>
              <w:left w:val="nil"/>
              <w:bottom w:val="single" w:sz="24" w:space="0" w:color="800000"/>
              <w:right w:val="nil"/>
            </w:tcBorders>
          </w:tcPr>
          <w:p w:rsidR="001B32F2" w:rsidRDefault="001B32F2" w:rsidP="00AE52F4">
            <w:pPr>
              <w:rPr>
                <w:sz w:val="20"/>
                <w:szCs w:val="20"/>
              </w:rPr>
            </w:pPr>
          </w:p>
        </w:tc>
        <w:tc>
          <w:tcPr>
            <w:tcW w:w="4064" w:type="dxa"/>
            <w:tcBorders>
              <w:left w:val="nil"/>
              <w:bottom w:val="single" w:sz="24" w:space="0" w:color="800000"/>
              <w:right w:val="nil"/>
            </w:tcBorders>
          </w:tcPr>
          <w:p w:rsidR="001B32F2" w:rsidRPr="00F839E4" w:rsidRDefault="001B32F2" w:rsidP="00AE52F4">
            <w:pPr>
              <w:rPr>
                <w:b/>
                <w:sz w:val="18"/>
                <w:szCs w:val="18"/>
              </w:rPr>
            </w:pPr>
          </w:p>
        </w:tc>
        <w:tc>
          <w:tcPr>
            <w:tcW w:w="300" w:type="dxa"/>
            <w:tcBorders>
              <w:left w:val="nil"/>
              <w:bottom w:val="single" w:sz="24" w:space="0" w:color="800000"/>
              <w:right w:val="nil"/>
            </w:tcBorders>
            <w:vAlign w:val="center"/>
          </w:tcPr>
          <w:p w:rsidR="001B32F2" w:rsidRPr="00E10B2A" w:rsidRDefault="001B32F2" w:rsidP="00D41219">
            <w:pPr>
              <w:ind w:left="-57"/>
              <w:rPr>
                <w:rFonts w:ascii="DejaVu Sans" w:hAnsi="DejaVu Sans" w:cs="DejaVu Sans"/>
                <w:b/>
              </w:rPr>
            </w:pPr>
          </w:p>
        </w:tc>
      </w:tr>
      <w:tr w:rsidR="001B32F2" w:rsidRPr="00F839E4" w:rsidTr="00894E24">
        <w:tc>
          <w:tcPr>
            <w:tcW w:w="5637" w:type="dxa"/>
            <w:tcBorders>
              <w:top w:val="single" w:sz="24" w:space="0" w:color="800000"/>
              <w:left w:val="nil"/>
              <w:right w:val="nil"/>
            </w:tcBorders>
          </w:tcPr>
          <w:p w:rsidR="001B32F2" w:rsidRDefault="001B32F2" w:rsidP="00AE52F4">
            <w:pPr>
              <w:rPr>
                <w:sz w:val="20"/>
                <w:szCs w:val="20"/>
              </w:rPr>
            </w:pPr>
          </w:p>
          <w:p w:rsidR="001B32F2" w:rsidRDefault="001B32F2" w:rsidP="00AE52F4">
            <w:pPr>
              <w:rPr>
                <w:sz w:val="20"/>
                <w:szCs w:val="20"/>
              </w:rPr>
            </w:pPr>
          </w:p>
          <w:p w:rsidR="001B32F2" w:rsidRDefault="001D6475" w:rsidP="00AE52F4">
            <w:pPr>
              <w:rPr>
                <w:sz w:val="20"/>
                <w:szCs w:val="20"/>
              </w:rPr>
            </w:pPr>
            <w:r>
              <w:rPr>
                <w:noProof/>
                <w:sz w:val="20"/>
                <w:szCs w:val="20"/>
                <w:lang w:eastAsia="fr-FR"/>
              </w:rPr>
              <w:drawing>
                <wp:inline distT="0" distB="0" distL="0" distR="0">
                  <wp:extent cx="571500" cy="866775"/>
                  <wp:effectExtent l="19050" t="0" r="0" b="0"/>
                  <wp:docPr id="3" name="Image 3" descr="MC9003340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34082[1]"/>
                          <pic:cNvPicPr>
                            <a:picLocks noChangeAspect="1" noChangeArrowheads="1"/>
                          </pic:cNvPicPr>
                        </pic:nvPicPr>
                        <pic:blipFill>
                          <a:blip r:embed="rId9" cstate="print"/>
                          <a:srcRect/>
                          <a:stretch>
                            <a:fillRect/>
                          </a:stretch>
                        </pic:blipFill>
                        <pic:spPr bwMode="auto">
                          <a:xfrm>
                            <a:off x="0" y="0"/>
                            <a:ext cx="571500" cy="866775"/>
                          </a:xfrm>
                          <a:prstGeom prst="rect">
                            <a:avLst/>
                          </a:prstGeom>
                          <a:noFill/>
                          <a:ln w="9525">
                            <a:noFill/>
                            <a:miter lim="800000"/>
                            <a:headEnd/>
                            <a:tailEnd/>
                          </a:ln>
                        </pic:spPr>
                      </pic:pic>
                    </a:graphicData>
                  </a:graphic>
                </wp:inline>
              </w:drawing>
            </w:r>
          </w:p>
          <w:p w:rsidR="001B32F2" w:rsidRPr="00982566" w:rsidRDefault="001B32F2" w:rsidP="00AE52F4">
            <w:pPr>
              <w:rPr>
                <w:b/>
                <w:sz w:val="20"/>
                <w:szCs w:val="20"/>
              </w:rPr>
            </w:pPr>
          </w:p>
        </w:tc>
        <w:tc>
          <w:tcPr>
            <w:tcW w:w="4064" w:type="dxa"/>
            <w:tcBorders>
              <w:top w:val="single" w:sz="24" w:space="0" w:color="800000"/>
              <w:left w:val="nil"/>
              <w:right w:val="nil"/>
            </w:tcBorders>
            <w:vAlign w:val="center"/>
          </w:tcPr>
          <w:p w:rsidR="001B32F2" w:rsidRPr="006F30E9" w:rsidRDefault="001B32F2" w:rsidP="00382F40">
            <w:pPr>
              <w:ind w:left="1943"/>
              <w:jc w:val="right"/>
              <w:rPr>
                <w:rFonts w:ascii="Arial" w:hAnsi="Arial" w:cs="Arial"/>
                <w:b/>
                <w:sz w:val="22"/>
                <w:szCs w:val="22"/>
              </w:rPr>
            </w:pPr>
            <w:r w:rsidRPr="006F30E9">
              <w:rPr>
                <w:rFonts w:ascii="Arial" w:hAnsi="Arial" w:cs="Arial"/>
                <w:b/>
                <w:sz w:val="22"/>
                <w:szCs w:val="22"/>
              </w:rPr>
              <w:t>Thème II – Lutter contre les stéréotypes,  les préjugés et les aut</w:t>
            </w:r>
            <w:r>
              <w:rPr>
                <w:rFonts w:ascii="Arial" w:hAnsi="Arial" w:cs="Arial"/>
                <w:b/>
                <w:sz w:val="22"/>
                <w:szCs w:val="22"/>
              </w:rPr>
              <w:t>res facteurs de discriminations</w:t>
            </w:r>
          </w:p>
        </w:tc>
        <w:tc>
          <w:tcPr>
            <w:tcW w:w="300" w:type="dxa"/>
            <w:tcBorders>
              <w:top w:val="single" w:sz="24" w:space="0" w:color="800000"/>
              <w:left w:val="nil"/>
              <w:bottom w:val="single" w:sz="4" w:space="0" w:color="auto"/>
              <w:right w:val="nil"/>
            </w:tcBorders>
            <w:vAlign w:val="center"/>
          </w:tcPr>
          <w:p w:rsidR="001B32F2" w:rsidRPr="00E10B2A" w:rsidRDefault="001B32F2" w:rsidP="00D41219">
            <w:pPr>
              <w:ind w:left="-57"/>
              <w:rPr>
                <w:rFonts w:ascii="DejaVu Sans" w:hAnsi="DejaVu Sans" w:cs="DejaVu Sans"/>
                <w:b/>
              </w:rPr>
            </w:pPr>
          </w:p>
        </w:tc>
      </w:tr>
      <w:tr w:rsidR="001B32F2" w:rsidRPr="00F839E4" w:rsidTr="00AE2620">
        <w:tc>
          <w:tcPr>
            <w:tcW w:w="9701" w:type="dxa"/>
            <w:gridSpan w:val="2"/>
          </w:tcPr>
          <w:p w:rsidR="001B32F2" w:rsidRDefault="001B32F2" w:rsidP="00AE52F4">
            <w:pPr>
              <w:rPr>
                <w:sz w:val="20"/>
                <w:szCs w:val="20"/>
              </w:rPr>
            </w:pPr>
          </w:p>
          <w:p w:rsidR="001B32F2" w:rsidRPr="00CE3943" w:rsidRDefault="001B32F2" w:rsidP="00343904">
            <w:pPr>
              <w:pStyle w:val="Paragraphedeliste1"/>
              <w:ind w:left="43"/>
              <w:jc w:val="both"/>
              <w:rPr>
                <w:b/>
              </w:rPr>
            </w:pPr>
            <w:r w:rsidRPr="00CE3943">
              <w:rPr>
                <w:b/>
              </w:rPr>
              <w:t xml:space="preserve">Mesure </w:t>
            </w:r>
            <w:r>
              <w:rPr>
                <w:b/>
              </w:rPr>
              <w:t>2.</w:t>
            </w:r>
            <w:r w:rsidRPr="00CE3943">
              <w:rPr>
                <w:b/>
              </w:rPr>
              <w:t xml:space="preserve">1 : </w:t>
            </w:r>
            <w:r>
              <w:rPr>
                <w:b/>
              </w:rPr>
              <w:t>Poursuivre la réalisation</w:t>
            </w:r>
            <w:r w:rsidRPr="00CE3943">
              <w:rPr>
                <w:b/>
              </w:rPr>
              <w:t xml:space="preserve"> des supports pédagogiques </w:t>
            </w:r>
            <w:r>
              <w:rPr>
                <w:b/>
              </w:rPr>
              <w:t xml:space="preserve">et organiser des évènements </w:t>
            </w:r>
            <w:r w:rsidRPr="00CE3943">
              <w:rPr>
                <w:b/>
              </w:rPr>
              <w:t>sur les thématiques de la diversité et notamment celle de l’égalité femmes/hommes.</w:t>
            </w:r>
            <w:r>
              <w:rPr>
                <w:b/>
              </w:rPr>
              <w:t xml:space="preserve"> (</w:t>
            </w:r>
            <w:r>
              <w:t>L’ensemble des projets s’inscrit dans le plan de communication 2014 piloté par la DICOM.)</w:t>
            </w:r>
          </w:p>
        </w:tc>
        <w:tc>
          <w:tcPr>
            <w:tcW w:w="300" w:type="dxa"/>
            <w:tcBorders>
              <w:bottom w:val="single" w:sz="4" w:space="0" w:color="auto"/>
            </w:tcBorders>
            <w:shd w:val="clear" w:color="auto" w:fill="auto"/>
            <w:vAlign w:val="center"/>
          </w:tcPr>
          <w:p w:rsidR="001B32F2" w:rsidRPr="00E10B2A" w:rsidRDefault="001B32F2" w:rsidP="00556FF7">
            <w:pPr>
              <w:ind w:left="-57"/>
              <w:rPr>
                <w:rFonts w:ascii="DejaVu Sans" w:hAnsi="DejaVu Sans" w:cs="DejaVu Sans"/>
                <w:b/>
              </w:rPr>
            </w:pPr>
          </w:p>
        </w:tc>
      </w:tr>
      <w:tr w:rsidR="001B32F2" w:rsidRPr="00F839E4" w:rsidTr="00A8001A">
        <w:tc>
          <w:tcPr>
            <w:tcW w:w="5637" w:type="dxa"/>
          </w:tcPr>
          <w:p w:rsidR="001B32F2" w:rsidRPr="00FC043D" w:rsidRDefault="001B32F2" w:rsidP="004A71C1">
            <w:pPr>
              <w:pStyle w:val="Paragraphedeliste1"/>
              <w:numPr>
                <w:ilvl w:val="0"/>
                <w:numId w:val="25"/>
              </w:numPr>
              <w:jc w:val="both"/>
              <w:rPr>
                <w:i/>
              </w:rPr>
            </w:pPr>
            <w:r w:rsidRPr="00FC043D">
              <w:rPr>
                <w:i/>
              </w:rPr>
              <w:t xml:space="preserve">Elaborer un plan de communication ad hoc </w:t>
            </w:r>
          </w:p>
        </w:tc>
        <w:tc>
          <w:tcPr>
            <w:tcW w:w="4064" w:type="dxa"/>
          </w:tcPr>
          <w:p w:rsidR="001B32F2" w:rsidRDefault="001B32F2" w:rsidP="00577575">
            <w:pPr>
              <w:pStyle w:val="Paragraphedeliste1"/>
              <w:ind w:left="43"/>
              <w:jc w:val="both"/>
            </w:pPr>
          </w:p>
        </w:tc>
        <w:tc>
          <w:tcPr>
            <w:tcW w:w="300" w:type="dxa"/>
            <w:tcBorders>
              <w:bottom w:val="single" w:sz="4" w:space="0" w:color="auto"/>
            </w:tcBorders>
            <w:shd w:val="clear" w:color="auto" w:fill="548DD4"/>
            <w:vAlign w:val="center"/>
          </w:tcPr>
          <w:p w:rsidR="001B32F2" w:rsidRPr="00E10B2A" w:rsidRDefault="00A8001A" w:rsidP="001B32F2">
            <w:pPr>
              <w:ind w:left="-57"/>
              <w:rPr>
                <w:rFonts w:ascii="DejaVu Sans" w:hAnsi="DejaVu Sans" w:cs="DejaVu Sans"/>
                <w:b/>
              </w:rPr>
            </w:pPr>
            <w:r>
              <w:rPr>
                <w:b/>
              </w:rPr>
              <w:sym w:font="Monotype Sorts" w:char="F0DA"/>
            </w:r>
          </w:p>
        </w:tc>
      </w:tr>
      <w:tr w:rsidR="00345BE0" w:rsidRPr="00F839E4" w:rsidTr="00A8001A">
        <w:tc>
          <w:tcPr>
            <w:tcW w:w="5637" w:type="dxa"/>
          </w:tcPr>
          <w:p w:rsidR="00345BE0" w:rsidRPr="00FC043D" w:rsidRDefault="00345BE0" w:rsidP="00317860">
            <w:pPr>
              <w:pStyle w:val="Paragraphedeliste1"/>
              <w:numPr>
                <w:ilvl w:val="0"/>
                <w:numId w:val="25"/>
              </w:numPr>
              <w:jc w:val="both"/>
              <w:rPr>
                <w:i/>
              </w:rPr>
            </w:pPr>
            <w:r w:rsidRPr="00FC043D">
              <w:rPr>
                <w:i/>
              </w:rPr>
              <w:t>Organiser une manifestation le 8 mars, journée internationale pour les droits des femmes (expositions, conférences, projections de films, spectacles de sensibilisation à la thématique…). S’assurer que des initiatives de même nature sont prises dans les services territoriaux</w:t>
            </w:r>
          </w:p>
        </w:tc>
        <w:tc>
          <w:tcPr>
            <w:tcW w:w="4064" w:type="dxa"/>
          </w:tcPr>
          <w:p w:rsidR="00345BE0" w:rsidRPr="00345BE0" w:rsidRDefault="00F37140" w:rsidP="00577575">
            <w:pPr>
              <w:pStyle w:val="Paragraphedeliste1"/>
              <w:ind w:left="43"/>
              <w:jc w:val="both"/>
            </w:pPr>
            <w:r>
              <w:t xml:space="preserve">Les 12 et 13 mars 2015, </w:t>
            </w:r>
            <w:r w:rsidRPr="00345BE0">
              <w:t xml:space="preserve">les actions suivantes </w:t>
            </w:r>
            <w:r w:rsidR="00345BE0" w:rsidRPr="00345BE0">
              <w:t>sont program</w:t>
            </w:r>
            <w:r w:rsidR="00345BE0">
              <w:t>m</w:t>
            </w:r>
            <w:r w:rsidR="00345BE0" w:rsidRPr="00345BE0">
              <w:t xml:space="preserve">ées </w:t>
            </w:r>
            <w:r>
              <w:t xml:space="preserve">sur le site Duquesne </w:t>
            </w:r>
            <w:r w:rsidR="00345BE0" w:rsidRPr="00345BE0">
              <w:t xml:space="preserve">: </w:t>
            </w:r>
          </w:p>
          <w:p w:rsidR="00345BE0" w:rsidRDefault="00345BE0" w:rsidP="00345BE0">
            <w:pPr>
              <w:autoSpaceDE w:val="0"/>
              <w:autoSpaceDN w:val="0"/>
              <w:adjustRightInd w:val="0"/>
              <w:jc w:val="both"/>
              <w:rPr>
                <w:sz w:val="20"/>
                <w:szCs w:val="20"/>
                <w:lang w:eastAsia="fr-FR"/>
              </w:rPr>
            </w:pPr>
            <w:r>
              <w:rPr>
                <w:sz w:val="20"/>
                <w:szCs w:val="20"/>
                <w:lang w:eastAsia="fr-FR"/>
              </w:rPr>
              <w:t xml:space="preserve">- </w:t>
            </w:r>
            <w:r w:rsidRPr="00345BE0">
              <w:rPr>
                <w:sz w:val="20"/>
                <w:szCs w:val="20"/>
                <w:lang w:eastAsia="fr-FR"/>
              </w:rPr>
              <w:t>la projectio</w:t>
            </w:r>
            <w:r w:rsidR="00D91A4E">
              <w:rPr>
                <w:sz w:val="20"/>
                <w:szCs w:val="20"/>
                <w:lang w:eastAsia="fr-FR"/>
              </w:rPr>
              <w:t>n, le 12</w:t>
            </w:r>
            <w:r w:rsidRPr="00345BE0">
              <w:rPr>
                <w:sz w:val="20"/>
                <w:szCs w:val="20"/>
                <w:lang w:eastAsia="fr-FR"/>
              </w:rPr>
              <w:t xml:space="preserve"> mars, salle Laroque, du film "La Loi" de Christian Faure en présence de l'équipe de production</w:t>
            </w:r>
          </w:p>
          <w:p w:rsidR="00F37140" w:rsidRDefault="00F37140" w:rsidP="00F37140">
            <w:pPr>
              <w:pStyle w:val="Paragraphedeliste1"/>
              <w:ind w:left="0"/>
              <w:jc w:val="both"/>
            </w:pPr>
            <w:r>
              <w:t xml:space="preserve">- </w:t>
            </w:r>
            <w:r w:rsidRPr="00345BE0">
              <w:t>la diffusion d'un bouquet de vidéos des Ecrans du Social sur l'espace Parquet de Duquesne</w:t>
            </w:r>
          </w:p>
          <w:p w:rsidR="00345BE0" w:rsidRDefault="00F37140" w:rsidP="00F37140">
            <w:pPr>
              <w:autoSpaceDE w:val="0"/>
              <w:autoSpaceDN w:val="0"/>
              <w:adjustRightInd w:val="0"/>
              <w:jc w:val="both"/>
              <w:rPr>
                <w:sz w:val="20"/>
                <w:szCs w:val="20"/>
              </w:rPr>
            </w:pPr>
            <w:r>
              <w:t xml:space="preserve">- </w:t>
            </w:r>
            <w:r w:rsidRPr="00F37140">
              <w:rPr>
                <w:sz w:val="20"/>
                <w:szCs w:val="20"/>
              </w:rPr>
              <w:t>la diffusion des chiffres clé</w:t>
            </w:r>
            <w:r>
              <w:rPr>
                <w:sz w:val="20"/>
                <w:szCs w:val="20"/>
              </w:rPr>
              <w:t>s</w:t>
            </w:r>
          </w:p>
          <w:p w:rsidR="00F37140" w:rsidRPr="00F37140" w:rsidRDefault="00F37140" w:rsidP="00F37140">
            <w:pPr>
              <w:autoSpaceDE w:val="0"/>
              <w:autoSpaceDN w:val="0"/>
              <w:adjustRightInd w:val="0"/>
              <w:jc w:val="both"/>
              <w:rPr>
                <w:sz w:val="20"/>
                <w:szCs w:val="20"/>
                <w:lang w:eastAsia="fr-FR"/>
              </w:rPr>
            </w:pPr>
            <w:r>
              <w:rPr>
                <w:sz w:val="20"/>
                <w:szCs w:val="20"/>
              </w:rPr>
              <w:lastRenderedPageBreak/>
              <w:t>Ces outils seront communiqués aux régions.</w:t>
            </w:r>
          </w:p>
        </w:tc>
        <w:tc>
          <w:tcPr>
            <w:tcW w:w="300" w:type="dxa"/>
            <w:tcBorders>
              <w:bottom w:val="single" w:sz="4" w:space="0" w:color="auto"/>
            </w:tcBorders>
            <w:shd w:val="clear" w:color="auto" w:fill="548DD4"/>
            <w:vAlign w:val="center"/>
          </w:tcPr>
          <w:p w:rsidR="00345BE0" w:rsidRPr="00E10B2A" w:rsidRDefault="00A8001A" w:rsidP="00A70E28">
            <w:pPr>
              <w:ind w:left="-57"/>
              <w:rPr>
                <w:rFonts w:ascii="DejaVu Sans" w:hAnsi="DejaVu Sans" w:cs="DejaVu Sans"/>
                <w:b/>
              </w:rPr>
            </w:pPr>
            <w:r>
              <w:rPr>
                <w:b/>
              </w:rPr>
              <w:lastRenderedPageBreak/>
              <w:sym w:font="Monotype Sorts" w:char="F0DA"/>
            </w:r>
          </w:p>
        </w:tc>
      </w:tr>
      <w:tr w:rsidR="00345BE0" w:rsidRPr="00F839E4" w:rsidTr="00A8001A">
        <w:tc>
          <w:tcPr>
            <w:tcW w:w="5637" w:type="dxa"/>
          </w:tcPr>
          <w:p w:rsidR="00345BE0" w:rsidRDefault="00345BE0" w:rsidP="005B0612">
            <w:pPr>
              <w:pStyle w:val="Paragraphedeliste1"/>
              <w:numPr>
                <w:ilvl w:val="0"/>
                <w:numId w:val="25"/>
              </w:numPr>
              <w:jc w:val="both"/>
            </w:pPr>
            <w:r>
              <w:lastRenderedPageBreak/>
              <w:t xml:space="preserve">Réaliser une exposition photos, ou concours de photos, ou </w:t>
            </w:r>
            <w:r w:rsidR="005B0612">
              <w:t xml:space="preserve">dessins humoristiques </w:t>
            </w:r>
            <w:r>
              <w:t>promouvant la mixité des métiers</w:t>
            </w:r>
          </w:p>
        </w:tc>
        <w:tc>
          <w:tcPr>
            <w:tcW w:w="4064" w:type="dxa"/>
          </w:tcPr>
          <w:p w:rsidR="00F37140" w:rsidRDefault="00345BE0" w:rsidP="00577575">
            <w:pPr>
              <w:pStyle w:val="Paragraphedeliste1"/>
              <w:ind w:left="43"/>
              <w:jc w:val="both"/>
              <w:rPr>
                <w:b/>
              </w:rPr>
            </w:pPr>
            <w:r w:rsidRPr="00655235">
              <w:rPr>
                <w:b/>
              </w:rPr>
              <w:t>2015</w:t>
            </w:r>
          </w:p>
          <w:p w:rsidR="00345BE0" w:rsidRDefault="00F37140" w:rsidP="00F37140">
            <w:pPr>
              <w:pStyle w:val="Paragraphedeliste1"/>
              <w:ind w:left="43"/>
              <w:jc w:val="both"/>
            </w:pPr>
            <w:r>
              <w:t xml:space="preserve">Une </w:t>
            </w:r>
            <w:r w:rsidRPr="00345BE0">
              <w:t xml:space="preserve">exposition de photographies sur la </w:t>
            </w:r>
            <w:r>
              <w:t>m</w:t>
            </w:r>
            <w:r w:rsidRPr="00345BE0">
              <w:t>ixité des métier</w:t>
            </w:r>
            <w:r>
              <w:t>s est prévue</w:t>
            </w:r>
            <w:r w:rsidR="007B00FD">
              <w:t xml:space="preserve"> sur le site Duquesne</w:t>
            </w:r>
            <w:r>
              <w:t xml:space="preserve"> du </w:t>
            </w:r>
            <w:r w:rsidR="002217D4">
              <w:t>21 au 29 avril 2015 à l’occasion de la date anniversaire du droit de vote des femmes</w:t>
            </w:r>
            <w:r w:rsidR="007B00FD">
              <w:t>.</w:t>
            </w:r>
          </w:p>
          <w:p w:rsidR="007B00FD" w:rsidRPr="00655235" w:rsidRDefault="007B00FD" w:rsidP="00F37140">
            <w:pPr>
              <w:pStyle w:val="Paragraphedeliste1"/>
              <w:ind w:left="43"/>
              <w:jc w:val="both"/>
              <w:rPr>
                <w:b/>
              </w:rPr>
            </w:pPr>
            <w:r>
              <w:t>L’exposition pourra être reprise dans les régions.</w:t>
            </w:r>
          </w:p>
        </w:tc>
        <w:tc>
          <w:tcPr>
            <w:tcW w:w="300" w:type="dxa"/>
            <w:tcBorders>
              <w:bottom w:val="single" w:sz="4" w:space="0" w:color="auto"/>
            </w:tcBorders>
            <w:shd w:val="clear" w:color="auto" w:fill="548DD4"/>
            <w:vAlign w:val="center"/>
          </w:tcPr>
          <w:p w:rsidR="00345BE0" w:rsidRPr="00E10B2A" w:rsidRDefault="00A8001A" w:rsidP="00556FF7">
            <w:pPr>
              <w:ind w:left="-57"/>
              <w:rPr>
                <w:rFonts w:ascii="DejaVu Sans" w:hAnsi="DejaVu Sans" w:cs="DejaVu Sans"/>
                <w:b/>
              </w:rPr>
            </w:pPr>
            <w:r>
              <w:rPr>
                <w:b/>
              </w:rPr>
              <w:sym w:font="Monotype Sorts" w:char="F0DA"/>
            </w:r>
          </w:p>
        </w:tc>
      </w:tr>
      <w:tr w:rsidR="00345BE0" w:rsidRPr="00F839E4" w:rsidTr="00AE2620">
        <w:tc>
          <w:tcPr>
            <w:tcW w:w="9701" w:type="dxa"/>
            <w:gridSpan w:val="2"/>
            <w:tcBorders>
              <w:bottom w:val="single" w:sz="4" w:space="0" w:color="auto"/>
            </w:tcBorders>
          </w:tcPr>
          <w:p w:rsidR="00345BE0" w:rsidRPr="004A71C1" w:rsidRDefault="00345BE0" w:rsidP="00AE52F4">
            <w:pPr>
              <w:rPr>
                <w:b/>
                <w:sz w:val="20"/>
                <w:szCs w:val="20"/>
              </w:rPr>
            </w:pPr>
          </w:p>
          <w:p w:rsidR="00345BE0" w:rsidRPr="004A71C1" w:rsidRDefault="00345BE0" w:rsidP="00BD4F35">
            <w:pPr>
              <w:pStyle w:val="Paragraphedeliste1"/>
              <w:ind w:left="0"/>
              <w:jc w:val="both"/>
              <w:rPr>
                <w:b/>
              </w:rPr>
            </w:pPr>
            <w:r w:rsidRPr="004A71C1">
              <w:rPr>
                <w:b/>
              </w:rPr>
              <w:t xml:space="preserve">Mesure </w:t>
            </w:r>
            <w:r>
              <w:rPr>
                <w:b/>
              </w:rPr>
              <w:t>2.</w:t>
            </w:r>
            <w:r w:rsidRPr="004A71C1">
              <w:rPr>
                <w:b/>
              </w:rPr>
              <w:t>2 : Mener une campagne continue d’information sur les actions entreprises</w:t>
            </w:r>
            <w:r>
              <w:rPr>
                <w:b/>
              </w:rPr>
              <w:t>. (</w:t>
            </w:r>
            <w:r>
              <w:t>L’ensemble des projets s’inscrit dans le plan de communication 2014 piloté par la DICOM.)</w:t>
            </w:r>
          </w:p>
        </w:tc>
        <w:tc>
          <w:tcPr>
            <w:tcW w:w="300" w:type="dxa"/>
            <w:tcBorders>
              <w:top w:val="single" w:sz="4" w:space="0" w:color="auto"/>
              <w:bottom w:val="single" w:sz="4" w:space="0" w:color="auto"/>
            </w:tcBorders>
            <w:shd w:val="clear" w:color="auto" w:fill="auto"/>
            <w:vAlign w:val="center"/>
          </w:tcPr>
          <w:p w:rsidR="00345BE0" w:rsidRPr="00E10B2A" w:rsidRDefault="00345BE0" w:rsidP="00556FF7">
            <w:pPr>
              <w:ind w:left="-57"/>
              <w:rPr>
                <w:rFonts w:ascii="DejaVu Sans" w:hAnsi="DejaVu Sans" w:cs="DejaVu Sans"/>
                <w:b/>
              </w:rPr>
            </w:pPr>
          </w:p>
        </w:tc>
      </w:tr>
      <w:tr w:rsidR="00345BE0" w:rsidRPr="00F839E4" w:rsidTr="002609EF">
        <w:tc>
          <w:tcPr>
            <w:tcW w:w="5637" w:type="dxa"/>
            <w:tcBorders>
              <w:top w:val="single" w:sz="4" w:space="0" w:color="auto"/>
            </w:tcBorders>
          </w:tcPr>
          <w:p w:rsidR="00345BE0" w:rsidRPr="004A71C1" w:rsidRDefault="00345BE0" w:rsidP="004A71C1">
            <w:pPr>
              <w:numPr>
                <w:ilvl w:val="0"/>
                <w:numId w:val="21"/>
              </w:numPr>
              <w:ind w:left="709"/>
              <w:rPr>
                <w:sz w:val="20"/>
                <w:szCs w:val="20"/>
              </w:rPr>
            </w:pPr>
            <w:r>
              <w:rPr>
                <w:sz w:val="20"/>
                <w:szCs w:val="20"/>
              </w:rPr>
              <w:t xml:space="preserve">Faire systématiquement figurer l’obligation de mettre en </w:t>
            </w:r>
            <w:r w:rsidR="00232AF9">
              <w:rPr>
                <w:sz w:val="20"/>
                <w:szCs w:val="20"/>
              </w:rPr>
              <w:t>œuvre</w:t>
            </w:r>
            <w:r>
              <w:rPr>
                <w:sz w:val="20"/>
                <w:szCs w:val="20"/>
              </w:rPr>
              <w:t xml:space="preserve"> cette politique dans les lettres de mission qui sont adressées aux directeurs</w:t>
            </w:r>
          </w:p>
        </w:tc>
        <w:tc>
          <w:tcPr>
            <w:tcW w:w="4064" w:type="dxa"/>
            <w:tcBorders>
              <w:top w:val="single" w:sz="4" w:space="0" w:color="auto"/>
            </w:tcBorders>
          </w:tcPr>
          <w:p w:rsidR="00345BE0" w:rsidRDefault="00345BE0" w:rsidP="007E4986">
            <w:pPr>
              <w:pStyle w:val="Paragraphedeliste1"/>
              <w:ind w:left="0"/>
              <w:jc w:val="both"/>
            </w:pPr>
            <w:r>
              <w:rPr>
                <w:b/>
              </w:rPr>
              <w:t xml:space="preserve">2015 </w:t>
            </w:r>
            <w:r>
              <w:t>(validation COSTRAT)</w:t>
            </w:r>
          </w:p>
        </w:tc>
        <w:tc>
          <w:tcPr>
            <w:tcW w:w="300" w:type="dxa"/>
            <w:tcBorders>
              <w:top w:val="single" w:sz="4" w:space="0" w:color="auto"/>
              <w:bottom w:val="single" w:sz="4" w:space="0" w:color="auto"/>
            </w:tcBorders>
            <w:shd w:val="clear" w:color="auto" w:fill="auto"/>
            <w:vAlign w:val="center"/>
          </w:tcPr>
          <w:p w:rsidR="00345BE0" w:rsidRPr="00E10B2A" w:rsidRDefault="00345BE0" w:rsidP="00556FF7">
            <w:pPr>
              <w:ind w:left="-57"/>
              <w:rPr>
                <w:rFonts w:ascii="DejaVu Sans" w:hAnsi="DejaVu Sans" w:cs="DejaVu Sans"/>
                <w:b/>
              </w:rPr>
            </w:pPr>
          </w:p>
        </w:tc>
      </w:tr>
      <w:tr w:rsidR="00345BE0" w:rsidRPr="00F839E4" w:rsidTr="00A8001A">
        <w:tc>
          <w:tcPr>
            <w:tcW w:w="5637" w:type="dxa"/>
            <w:tcBorders>
              <w:top w:val="nil"/>
            </w:tcBorders>
          </w:tcPr>
          <w:p w:rsidR="00345BE0" w:rsidRPr="00FC043D" w:rsidRDefault="00345BE0" w:rsidP="003310CC">
            <w:pPr>
              <w:pStyle w:val="Paragraphedeliste1"/>
              <w:numPr>
                <w:ilvl w:val="0"/>
                <w:numId w:val="21"/>
              </w:numPr>
              <w:ind w:left="709" w:hanging="300"/>
              <w:jc w:val="both"/>
              <w:rPr>
                <w:i/>
              </w:rPr>
            </w:pPr>
            <w:r w:rsidRPr="00FC043D">
              <w:rPr>
                <w:i/>
              </w:rPr>
              <w:t xml:space="preserve">Communiquer périodiquement sur les questions d’égalité en relatant les points d’actualité et en valorisant les actions réalisées (Intranet, Connexion, Eole </w:t>
            </w:r>
            <w:r w:rsidR="00921920" w:rsidRPr="00FC043D">
              <w:rPr>
                <w:i/>
              </w:rPr>
              <w:t>etc.</w:t>
            </w:r>
            <w:r w:rsidRPr="00FC043D">
              <w:rPr>
                <w:i/>
              </w:rPr>
              <w:t xml:space="preserve">). Définir des moyens de communication spécifiques en direction des réseaux (référents diversité,  chargés de communication, </w:t>
            </w:r>
            <w:r w:rsidR="00921920" w:rsidRPr="00FC043D">
              <w:rPr>
                <w:i/>
              </w:rPr>
              <w:t>etc.</w:t>
            </w:r>
            <w:r w:rsidRPr="00FC043D">
              <w:rPr>
                <w:i/>
              </w:rPr>
              <w:t>)</w:t>
            </w:r>
          </w:p>
        </w:tc>
        <w:tc>
          <w:tcPr>
            <w:tcW w:w="4064" w:type="dxa"/>
            <w:tcBorders>
              <w:top w:val="nil"/>
            </w:tcBorders>
          </w:tcPr>
          <w:p w:rsidR="00345BE0" w:rsidRDefault="00345BE0" w:rsidP="007E4986">
            <w:pPr>
              <w:pStyle w:val="Paragraphedeliste1"/>
              <w:ind w:left="0"/>
              <w:jc w:val="both"/>
            </w:pPr>
          </w:p>
        </w:tc>
        <w:tc>
          <w:tcPr>
            <w:tcW w:w="300" w:type="dxa"/>
            <w:tcBorders>
              <w:top w:val="single" w:sz="4" w:space="0" w:color="auto"/>
              <w:bottom w:val="single" w:sz="4" w:space="0" w:color="auto"/>
            </w:tcBorders>
            <w:shd w:val="clear" w:color="auto" w:fill="548DD4"/>
            <w:vAlign w:val="center"/>
          </w:tcPr>
          <w:p w:rsidR="00345BE0" w:rsidRPr="00E10B2A" w:rsidRDefault="00A8001A" w:rsidP="00556FF7">
            <w:pPr>
              <w:ind w:left="-57"/>
              <w:rPr>
                <w:rFonts w:ascii="DejaVu Sans" w:hAnsi="DejaVu Sans" w:cs="DejaVu Sans"/>
                <w:b/>
              </w:rPr>
            </w:pPr>
            <w:r>
              <w:rPr>
                <w:b/>
              </w:rPr>
              <w:sym w:font="Monotype Sorts" w:char="F0DA"/>
            </w:r>
          </w:p>
        </w:tc>
      </w:tr>
      <w:tr w:rsidR="00345BE0" w:rsidRPr="00F839E4" w:rsidTr="000C61E0">
        <w:tc>
          <w:tcPr>
            <w:tcW w:w="9701" w:type="dxa"/>
            <w:gridSpan w:val="2"/>
            <w:tcBorders>
              <w:bottom w:val="single" w:sz="4" w:space="0" w:color="auto"/>
            </w:tcBorders>
          </w:tcPr>
          <w:p w:rsidR="00345BE0" w:rsidRDefault="00345BE0" w:rsidP="000C61E0">
            <w:pPr>
              <w:pStyle w:val="Paragraphedeliste1"/>
              <w:ind w:left="0"/>
              <w:jc w:val="both"/>
            </w:pPr>
          </w:p>
          <w:p w:rsidR="00345BE0" w:rsidRPr="002A7239" w:rsidRDefault="00345BE0" w:rsidP="000C61E0">
            <w:pPr>
              <w:pStyle w:val="Paragraphedeliste1"/>
              <w:ind w:left="0"/>
              <w:jc w:val="both"/>
              <w:rPr>
                <w:b/>
              </w:rPr>
            </w:pPr>
            <w:r>
              <w:rPr>
                <w:b/>
              </w:rPr>
              <w:t>Mesure 2.3 : Etendre</w:t>
            </w:r>
            <w:r w:rsidRPr="002A7239">
              <w:rPr>
                <w:b/>
              </w:rPr>
              <w:t xml:space="preserve"> l’exigence d’égalité et de parité</w:t>
            </w:r>
            <w:r>
              <w:rPr>
                <w:b/>
              </w:rPr>
              <w:t xml:space="preserve"> à l’ensemble des établissements sous tutelle</w:t>
            </w:r>
          </w:p>
        </w:tc>
        <w:tc>
          <w:tcPr>
            <w:tcW w:w="300" w:type="dxa"/>
            <w:tcBorders>
              <w:top w:val="single" w:sz="4" w:space="0" w:color="auto"/>
              <w:bottom w:val="single" w:sz="4" w:space="0" w:color="auto"/>
            </w:tcBorders>
            <w:shd w:val="clear" w:color="auto" w:fill="auto"/>
            <w:vAlign w:val="center"/>
          </w:tcPr>
          <w:p w:rsidR="00345BE0" w:rsidRPr="00E10B2A" w:rsidRDefault="00345BE0" w:rsidP="000C61E0">
            <w:pPr>
              <w:ind w:left="-57"/>
              <w:rPr>
                <w:rFonts w:ascii="DejaVu Sans" w:hAnsi="DejaVu Sans" w:cs="DejaVu Sans"/>
                <w:b/>
              </w:rPr>
            </w:pPr>
          </w:p>
        </w:tc>
      </w:tr>
      <w:tr w:rsidR="00345BE0" w:rsidRPr="00F839E4" w:rsidTr="000C61E0">
        <w:tc>
          <w:tcPr>
            <w:tcW w:w="5637" w:type="dxa"/>
            <w:tcBorders>
              <w:bottom w:val="single" w:sz="4" w:space="0" w:color="auto"/>
            </w:tcBorders>
          </w:tcPr>
          <w:p w:rsidR="00345BE0" w:rsidRDefault="00345BE0" w:rsidP="007726A5">
            <w:pPr>
              <w:pStyle w:val="Paragraphedeliste1"/>
              <w:numPr>
                <w:ilvl w:val="0"/>
                <w:numId w:val="37"/>
              </w:numPr>
              <w:jc w:val="both"/>
            </w:pPr>
            <w:r>
              <w:t>Mieux faire connaitre les actions menées par les ministères et exporter leur exigence d’égalité et de parité auprès de leurs différents opérateurs, agences, établissements publics sous tutelle et assimilés</w:t>
            </w:r>
          </w:p>
        </w:tc>
        <w:tc>
          <w:tcPr>
            <w:tcW w:w="4064" w:type="dxa"/>
            <w:tcBorders>
              <w:bottom w:val="single" w:sz="4" w:space="0" w:color="auto"/>
            </w:tcBorders>
          </w:tcPr>
          <w:p w:rsidR="00345BE0" w:rsidRPr="009168F4" w:rsidRDefault="00345BE0" w:rsidP="000C61E0">
            <w:pPr>
              <w:pStyle w:val="Paragraphedeliste1"/>
              <w:ind w:left="0"/>
              <w:jc w:val="both"/>
              <w:rPr>
                <w:b/>
              </w:rPr>
            </w:pPr>
            <w:r w:rsidRPr="009168F4">
              <w:rPr>
                <w:b/>
              </w:rPr>
              <w:t>2015</w:t>
            </w:r>
          </w:p>
        </w:tc>
        <w:tc>
          <w:tcPr>
            <w:tcW w:w="300" w:type="dxa"/>
            <w:tcBorders>
              <w:top w:val="single" w:sz="4" w:space="0" w:color="auto"/>
              <w:bottom w:val="single" w:sz="4" w:space="0" w:color="auto"/>
            </w:tcBorders>
            <w:shd w:val="clear" w:color="auto" w:fill="auto"/>
            <w:vAlign w:val="center"/>
          </w:tcPr>
          <w:p w:rsidR="00345BE0" w:rsidRPr="00E10B2A" w:rsidRDefault="00345BE0" w:rsidP="000C61E0">
            <w:pPr>
              <w:pStyle w:val="Paragraphedeliste1"/>
              <w:rPr>
                <w:rFonts w:ascii="DejaVu Sans" w:hAnsi="DejaVu Sans" w:cs="DejaVu Sans"/>
                <w:b/>
              </w:rPr>
            </w:pPr>
          </w:p>
        </w:tc>
      </w:tr>
      <w:tr w:rsidR="00345BE0" w:rsidRPr="00F839E4" w:rsidTr="000C61E0">
        <w:tc>
          <w:tcPr>
            <w:tcW w:w="5637" w:type="dxa"/>
            <w:tcBorders>
              <w:bottom w:val="single" w:sz="4" w:space="0" w:color="auto"/>
            </w:tcBorders>
          </w:tcPr>
          <w:p w:rsidR="00345BE0" w:rsidRPr="00E814C6" w:rsidRDefault="00345BE0" w:rsidP="000C61E0">
            <w:pPr>
              <w:pStyle w:val="Paragraphedeliste1"/>
              <w:numPr>
                <w:ilvl w:val="0"/>
                <w:numId w:val="37"/>
              </w:numPr>
              <w:jc w:val="both"/>
            </w:pPr>
            <w:r>
              <w:t>Veiller</w:t>
            </w:r>
            <w:r w:rsidRPr="00E814C6">
              <w:t xml:space="preserve"> à l’équilibre des nominations entre les femmes et les hommes dans les conseils d’administration</w:t>
            </w:r>
            <w:r>
              <w:t xml:space="preserve"> et autres conseils des agences et des établissements sous tutelle</w:t>
            </w:r>
          </w:p>
        </w:tc>
        <w:tc>
          <w:tcPr>
            <w:tcW w:w="4064" w:type="dxa"/>
            <w:tcBorders>
              <w:bottom w:val="single" w:sz="4" w:space="0" w:color="auto"/>
            </w:tcBorders>
          </w:tcPr>
          <w:p w:rsidR="00345BE0" w:rsidRDefault="00345BE0" w:rsidP="000C61E0">
            <w:pPr>
              <w:pStyle w:val="Paragraphedeliste1"/>
              <w:ind w:left="0"/>
              <w:jc w:val="both"/>
            </w:pPr>
          </w:p>
        </w:tc>
        <w:tc>
          <w:tcPr>
            <w:tcW w:w="300" w:type="dxa"/>
            <w:tcBorders>
              <w:top w:val="single" w:sz="4" w:space="0" w:color="auto"/>
              <w:bottom w:val="single" w:sz="4" w:space="0" w:color="auto"/>
            </w:tcBorders>
            <w:shd w:val="clear" w:color="auto" w:fill="auto"/>
            <w:vAlign w:val="center"/>
          </w:tcPr>
          <w:p w:rsidR="00345BE0" w:rsidRPr="00E10B2A" w:rsidRDefault="00345BE0" w:rsidP="000C61E0">
            <w:pPr>
              <w:pStyle w:val="Paragraphedeliste1"/>
              <w:rPr>
                <w:rFonts w:ascii="DejaVu Sans" w:hAnsi="DejaVu Sans" w:cs="DejaVu Sans"/>
                <w:b/>
              </w:rPr>
            </w:pPr>
          </w:p>
        </w:tc>
      </w:tr>
      <w:tr w:rsidR="00345BE0" w:rsidRPr="00F839E4" w:rsidTr="000C61E0">
        <w:tc>
          <w:tcPr>
            <w:tcW w:w="5637" w:type="dxa"/>
            <w:tcBorders>
              <w:bottom w:val="single" w:sz="4" w:space="0" w:color="auto"/>
            </w:tcBorders>
          </w:tcPr>
          <w:p w:rsidR="00345BE0" w:rsidRPr="009168F4" w:rsidRDefault="00345BE0" w:rsidP="000C61E0">
            <w:pPr>
              <w:pStyle w:val="Paragraphedeliste1"/>
              <w:numPr>
                <w:ilvl w:val="0"/>
                <w:numId w:val="37"/>
              </w:numPr>
              <w:jc w:val="both"/>
              <w:rPr>
                <w:i/>
              </w:rPr>
            </w:pPr>
            <w:r w:rsidRPr="009168F4">
              <w:rPr>
                <w:i/>
              </w:rPr>
              <w:t>Suivre l’exécution des mesures contenues des COP et CPOM</w:t>
            </w:r>
          </w:p>
        </w:tc>
        <w:tc>
          <w:tcPr>
            <w:tcW w:w="4064" w:type="dxa"/>
            <w:tcBorders>
              <w:bottom w:val="single" w:sz="4" w:space="0" w:color="auto"/>
            </w:tcBorders>
          </w:tcPr>
          <w:p w:rsidR="00345BE0" w:rsidRDefault="00345BE0" w:rsidP="000C61E0">
            <w:pPr>
              <w:pStyle w:val="Paragraphedeliste1"/>
              <w:ind w:left="0"/>
              <w:jc w:val="both"/>
            </w:pPr>
          </w:p>
        </w:tc>
        <w:tc>
          <w:tcPr>
            <w:tcW w:w="300" w:type="dxa"/>
            <w:tcBorders>
              <w:top w:val="single" w:sz="4" w:space="0" w:color="auto"/>
              <w:bottom w:val="single" w:sz="4" w:space="0" w:color="auto"/>
            </w:tcBorders>
            <w:shd w:val="clear" w:color="auto" w:fill="auto"/>
            <w:vAlign w:val="center"/>
          </w:tcPr>
          <w:p w:rsidR="00345BE0" w:rsidRPr="00E10B2A" w:rsidRDefault="00345BE0" w:rsidP="000C61E0">
            <w:pPr>
              <w:pStyle w:val="Paragraphedeliste1"/>
              <w:rPr>
                <w:rFonts w:ascii="DejaVu Sans" w:hAnsi="DejaVu Sans" w:cs="DejaVu Sans"/>
                <w:b/>
              </w:rPr>
            </w:pPr>
          </w:p>
        </w:tc>
      </w:tr>
      <w:tr w:rsidR="00345BE0" w:rsidRPr="00F839E4" w:rsidTr="000C61E0">
        <w:tc>
          <w:tcPr>
            <w:tcW w:w="9701" w:type="dxa"/>
            <w:gridSpan w:val="2"/>
            <w:tcBorders>
              <w:bottom w:val="single" w:sz="4" w:space="0" w:color="auto"/>
            </w:tcBorders>
          </w:tcPr>
          <w:p w:rsidR="00345BE0" w:rsidRDefault="00345BE0" w:rsidP="000C61E0">
            <w:pPr>
              <w:pStyle w:val="Paragraphedeliste1"/>
              <w:ind w:left="0"/>
              <w:jc w:val="both"/>
            </w:pPr>
          </w:p>
          <w:p w:rsidR="00345BE0" w:rsidRPr="002A7239" w:rsidRDefault="00345BE0" w:rsidP="000C61E0">
            <w:pPr>
              <w:pStyle w:val="Paragraphedeliste1"/>
              <w:ind w:left="0"/>
              <w:jc w:val="both"/>
              <w:rPr>
                <w:b/>
              </w:rPr>
            </w:pPr>
            <w:r>
              <w:rPr>
                <w:b/>
              </w:rPr>
              <w:t>Mesure 2.4 : Intégrer la problématique de l</w:t>
            </w:r>
            <w:r w:rsidRPr="002A7239">
              <w:rPr>
                <w:b/>
              </w:rPr>
              <w:t>’égalité</w:t>
            </w:r>
            <w:r>
              <w:rPr>
                <w:b/>
              </w:rPr>
              <w:t xml:space="preserve"> dans les politiques d’achat public (article 16 loi du 4 août 2014)</w:t>
            </w:r>
          </w:p>
        </w:tc>
        <w:tc>
          <w:tcPr>
            <w:tcW w:w="300" w:type="dxa"/>
            <w:tcBorders>
              <w:top w:val="single" w:sz="4" w:space="0" w:color="auto"/>
              <w:bottom w:val="single" w:sz="4" w:space="0" w:color="auto"/>
            </w:tcBorders>
            <w:shd w:val="clear" w:color="auto" w:fill="auto"/>
            <w:vAlign w:val="center"/>
          </w:tcPr>
          <w:p w:rsidR="00345BE0" w:rsidRPr="00E10B2A" w:rsidRDefault="00345BE0" w:rsidP="000C61E0">
            <w:pPr>
              <w:ind w:left="-57"/>
              <w:rPr>
                <w:rFonts w:ascii="DejaVu Sans" w:hAnsi="DejaVu Sans" w:cs="DejaVu Sans"/>
                <w:b/>
              </w:rPr>
            </w:pPr>
          </w:p>
        </w:tc>
      </w:tr>
      <w:tr w:rsidR="004F47E1" w:rsidRPr="00F839E4" w:rsidTr="004F47E1">
        <w:tc>
          <w:tcPr>
            <w:tcW w:w="5637" w:type="dxa"/>
            <w:tcBorders>
              <w:bottom w:val="single" w:sz="4" w:space="0" w:color="auto"/>
            </w:tcBorders>
          </w:tcPr>
          <w:p w:rsidR="004F47E1" w:rsidRDefault="004F47E1" w:rsidP="000C61E0">
            <w:pPr>
              <w:pStyle w:val="Paragraphedeliste1"/>
              <w:numPr>
                <w:ilvl w:val="0"/>
                <w:numId w:val="37"/>
              </w:numPr>
              <w:jc w:val="both"/>
            </w:pPr>
            <w:r>
              <w:t>Tenir compte dans tous les marchés publics, contrats de partenariat et délégation de service public des obligations légales des entreprises en matière d’égalité professionnelle</w:t>
            </w:r>
          </w:p>
        </w:tc>
        <w:tc>
          <w:tcPr>
            <w:tcW w:w="4064" w:type="dxa"/>
            <w:tcBorders>
              <w:bottom w:val="single" w:sz="4" w:space="0" w:color="auto"/>
            </w:tcBorders>
          </w:tcPr>
          <w:p w:rsidR="004F47E1" w:rsidRDefault="004F47E1" w:rsidP="000C61E0">
            <w:pPr>
              <w:pStyle w:val="Paragraphedeliste1"/>
              <w:ind w:left="0"/>
              <w:jc w:val="both"/>
              <w:rPr>
                <w:b/>
              </w:rPr>
            </w:pPr>
            <w:r w:rsidRPr="009168F4">
              <w:rPr>
                <w:b/>
              </w:rPr>
              <w:t>2015</w:t>
            </w:r>
          </w:p>
          <w:p w:rsidR="004F47E1" w:rsidRPr="00DA475C" w:rsidRDefault="004F47E1" w:rsidP="00C377BA">
            <w:pPr>
              <w:pStyle w:val="Paragraphedeliste1"/>
              <w:ind w:left="0"/>
              <w:jc w:val="both"/>
            </w:pPr>
            <w:r w:rsidRPr="00DA475C">
              <w:t>Note juridique de la DFAS/bureau de procédures de la commande publique : les rubriques F1 du formulaire DC1 et I du formulaire DC4 relatives aux attestations sur l’honneur, ont été mises à jour pour permettre l’application de ces nouvelles dispositions</w:t>
            </w:r>
            <w:r w:rsidR="002C0064">
              <w:t xml:space="preserve">, applicables à </w:t>
            </w:r>
            <w:r w:rsidR="00C377BA">
              <w:t>compter</w:t>
            </w:r>
            <w:r w:rsidR="002C0064">
              <w:t xml:space="preserve"> du 1</w:t>
            </w:r>
            <w:r w:rsidR="002C0064" w:rsidRPr="002C0064">
              <w:rPr>
                <w:vertAlign w:val="superscript"/>
              </w:rPr>
              <w:t>er</w:t>
            </w:r>
            <w:r w:rsidR="002C0064">
              <w:t xml:space="preserve"> décembre 2014</w:t>
            </w:r>
            <w:r w:rsidRPr="00DA475C">
              <w:t>.</w:t>
            </w:r>
          </w:p>
        </w:tc>
        <w:tc>
          <w:tcPr>
            <w:tcW w:w="300" w:type="dxa"/>
            <w:tcBorders>
              <w:top w:val="single" w:sz="4" w:space="0" w:color="auto"/>
              <w:bottom w:val="single" w:sz="4" w:space="0" w:color="auto"/>
            </w:tcBorders>
            <w:shd w:val="clear" w:color="auto" w:fill="00B050"/>
            <w:vAlign w:val="center"/>
          </w:tcPr>
          <w:p w:rsidR="004F47E1" w:rsidRPr="00E10B2A" w:rsidRDefault="004F47E1" w:rsidP="009F5ED8">
            <w:pPr>
              <w:jc w:val="center"/>
              <w:rPr>
                <w:rFonts w:ascii="DejaVu Sans" w:hAnsi="DejaVu Sans" w:cs="DejaVu Sans"/>
                <w:b/>
              </w:rPr>
            </w:pPr>
            <w:r w:rsidRPr="00E10B2A">
              <w:rPr>
                <w:rFonts w:ascii="DejaVu Sans" w:hAnsi="DejaVu Sans" w:cs="DejaVu Sans"/>
                <w:b/>
              </w:rPr>
              <w:t>●</w:t>
            </w:r>
          </w:p>
        </w:tc>
      </w:tr>
      <w:tr w:rsidR="004F47E1" w:rsidRPr="00F839E4" w:rsidTr="006B5F92">
        <w:tc>
          <w:tcPr>
            <w:tcW w:w="9701" w:type="dxa"/>
            <w:gridSpan w:val="2"/>
            <w:tcBorders>
              <w:bottom w:val="single" w:sz="4" w:space="0" w:color="auto"/>
            </w:tcBorders>
          </w:tcPr>
          <w:p w:rsidR="004F47E1" w:rsidRDefault="004F47E1" w:rsidP="003E5CAF">
            <w:pPr>
              <w:pStyle w:val="Paragraphedeliste1"/>
              <w:ind w:left="0"/>
              <w:jc w:val="both"/>
            </w:pPr>
          </w:p>
          <w:p w:rsidR="004F47E1" w:rsidRPr="00687DAC" w:rsidRDefault="004F47E1" w:rsidP="003E5CAF">
            <w:pPr>
              <w:pStyle w:val="Paragraphedeliste1"/>
              <w:ind w:left="0"/>
              <w:jc w:val="both"/>
              <w:rPr>
                <w:b/>
              </w:rPr>
            </w:pPr>
            <w:r>
              <w:rPr>
                <w:b/>
              </w:rPr>
              <w:t>Mesure 2.5</w:t>
            </w:r>
            <w:r w:rsidRPr="00687DAC">
              <w:rPr>
                <w:b/>
              </w:rPr>
              <w:t> : Renforcer la communication externe</w:t>
            </w:r>
          </w:p>
        </w:tc>
        <w:tc>
          <w:tcPr>
            <w:tcW w:w="300" w:type="dxa"/>
            <w:tcBorders>
              <w:top w:val="single" w:sz="4" w:space="0" w:color="auto"/>
              <w:bottom w:val="single" w:sz="4" w:space="0" w:color="auto"/>
            </w:tcBorders>
            <w:shd w:val="clear" w:color="auto" w:fill="auto"/>
            <w:vAlign w:val="center"/>
          </w:tcPr>
          <w:p w:rsidR="004F47E1" w:rsidRPr="00E10B2A" w:rsidRDefault="004F47E1" w:rsidP="00556FF7">
            <w:pPr>
              <w:ind w:left="-57"/>
              <w:rPr>
                <w:rFonts w:ascii="DejaVu Sans" w:hAnsi="DejaVu Sans" w:cs="DejaVu Sans"/>
                <w:b/>
              </w:rPr>
            </w:pPr>
          </w:p>
        </w:tc>
      </w:tr>
      <w:tr w:rsidR="004F47E1" w:rsidRPr="00F839E4" w:rsidTr="00E07CB3">
        <w:tc>
          <w:tcPr>
            <w:tcW w:w="5637" w:type="dxa"/>
            <w:tcBorders>
              <w:bottom w:val="single" w:sz="4" w:space="0" w:color="auto"/>
            </w:tcBorders>
          </w:tcPr>
          <w:p w:rsidR="004F47E1" w:rsidRDefault="004F47E1" w:rsidP="0053373B">
            <w:pPr>
              <w:pStyle w:val="Paragraphedeliste1"/>
              <w:numPr>
                <w:ilvl w:val="0"/>
                <w:numId w:val="43"/>
              </w:numPr>
              <w:jc w:val="both"/>
            </w:pPr>
            <w:r>
              <w:t xml:space="preserve">Prévoir de signer </w:t>
            </w:r>
            <w:smartTag w:uri="urn:schemas-microsoft-com:office:smarttags" w:element="PersonName">
              <w:smartTagPr>
                <w:attr w:name="ProductID" w:val="la charte Egalit￩"/>
              </w:smartTagPr>
              <w:r>
                <w:t>la charte Egalité</w:t>
              </w:r>
            </w:smartTag>
            <w:r>
              <w:t xml:space="preserve"> (AFNOR)</w:t>
            </w:r>
          </w:p>
        </w:tc>
        <w:tc>
          <w:tcPr>
            <w:tcW w:w="4064" w:type="dxa"/>
            <w:tcBorders>
              <w:bottom w:val="single" w:sz="4" w:space="0" w:color="auto"/>
            </w:tcBorders>
          </w:tcPr>
          <w:p w:rsidR="004F47E1" w:rsidRPr="009168F4" w:rsidRDefault="004F47E1" w:rsidP="003E5CAF">
            <w:pPr>
              <w:pStyle w:val="Paragraphedeliste1"/>
              <w:ind w:left="0"/>
              <w:jc w:val="both"/>
              <w:rPr>
                <w:b/>
              </w:rPr>
            </w:pPr>
            <w:r w:rsidRPr="009168F4">
              <w:rPr>
                <w:b/>
              </w:rPr>
              <w:t>2015</w:t>
            </w:r>
          </w:p>
        </w:tc>
        <w:tc>
          <w:tcPr>
            <w:tcW w:w="300" w:type="dxa"/>
            <w:tcBorders>
              <w:top w:val="single" w:sz="4" w:space="0" w:color="auto"/>
              <w:bottom w:val="single" w:sz="4" w:space="0" w:color="auto"/>
            </w:tcBorders>
            <w:shd w:val="clear" w:color="auto" w:fill="auto"/>
            <w:vAlign w:val="center"/>
          </w:tcPr>
          <w:p w:rsidR="004F47E1" w:rsidRPr="00E10B2A" w:rsidRDefault="004F47E1" w:rsidP="002F62CF">
            <w:pPr>
              <w:pStyle w:val="Paragraphedeliste1"/>
              <w:rPr>
                <w:rFonts w:ascii="DejaVu Sans" w:hAnsi="DejaVu Sans" w:cs="DejaVu Sans"/>
                <w:b/>
              </w:rPr>
            </w:pPr>
          </w:p>
        </w:tc>
      </w:tr>
      <w:tr w:rsidR="004F47E1" w:rsidRPr="00F839E4" w:rsidTr="00E07CB3">
        <w:tc>
          <w:tcPr>
            <w:tcW w:w="5637" w:type="dxa"/>
            <w:tcBorders>
              <w:bottom w:val="single" w:sz="4" w:space="0" w:color="auto"/>
            </w:tcBorders>
          </w:tcPr>
          <w:p w:rsidR="004F47E1" w:rsidRDefault="004F47E1" w:rsidP="0053373B">
            <w:pPr>
              <w:pStyle w:val="Paragraphedeliste1"/>
              <w:numPr>
                <w:ilvl w:val="0"/>
                <w:numId w:val="43"/>
              </w:numPr>
              <w:jc w:val="both"/>
            </w:pPr>
            <w:r>
              <w:t>Passer une convention avec le DDD</w:t>
            </w:r>
          </w:p>
        </w:tc>
        <w:tc>
          <w:tcPr>
            <w:tcW w:w="4064" w:type="dxa"/>
            <w:tcBorders>
              <w:bottom w:val="single" w:sz="4" w:space="0" w:color="auto"/>
            </w:tcBorders>
          </w:tcPr>
          <w:p w:rsidR="004F47E1" w:rsidRPr="009168F4" w:rsidRDefault="004F47E1" w:rsidP="003E5CAF">
            <w:pPr>
              <w:pStyle w:val="Paragraphedeliste1"/>
              <w:ind w:left="0"/>
              <w:jc w:val="both"/>
              <w:rPr>
                <w:b/>
              </w:rPr>
            </w:pPr>
            <w:r w:rsidRPr="009168F4">
              <w:rPr>
                <w:b/>
              </w:rPr>
              <w:t>2015</w:t>
            </w:r>
          </w:p>
        </w:tc>
        <w:tc>
          <w:tcPr>
            <w:tcW w:w="300" w:type="dxa"/>
            <w:tcBorders>
              <w:top w:val="single" w:sz="4" w:space="0" w:color="auto"/>
              <w:bottom w:val="single" w:sz="4" w:space="0" w:color="auto"/>
            </w:tcBorders>
            <w:shd w:val="clear" w:color="auto" w:fill="auto"/>
            <w:vAlign w:val="center"/>
          </w:tcPr>
          <w:p w:rsidR="004F47E1" w:rsidRPr="00E10B2A" w:rsidRDefault="004F47E1" w:rsidP="002F62CF">
            <w:pPr>
              <w:pStyle w:val="Paragraphedeliste1"/>
              <w:rPr>
                <w:rFonts w:ascii="DejaVu Sans" w:hAnsi="DejaVu Sans" w:cs="DejaVu Sans"/>
                <w:b/>
              </w:rPr>
            </w:pPr>
          </w:p>
        </w:tc>
      </w:tr>
      <w:tr w:rsidR="002F0CF0" w:rsidRPr="00F839E4" w:rsidTr="002F0CF0">
        <w:tc>
          <w:tcPr>
            <w:tcW w:w="5637" w:type="dxa"/>
            <w:tcBorders>
              <w:bottom w:val="single" w:sz="4" w:space="0" w:color="auto"/>
            </w:tcBorders>
          </w:tcPr>
          <w:p w:rsidR="002F0CF0" w:rsidRDefault="002F0CF0" w:rsidP="0053373B">
            <w:pPr>
              <w:pStyle w:val="Paragraphedeliste1"/>
              <w:numPr>
                <w:ilvl w:val="0"/>
                <w:numId w:val="43"/>
              </w:numPr>
              <w:jc w:val="both"/>
            </w:pPr>
            <w:r>
              <w:t xml:space="preserve">Organiser une présence plus active aux séminaires et colloques extérieurs pour faire mieux connaître les actions réalisées par les ministères chargés des affaires sociales </w:t>
            </w:r>
          </w:p>
        </w:tc>
        <w:tc>
          <w:tcPr>
            <w:tcW w:w="4064" w:type="dxa"/>
            <w:tcBorders>
              <w:bottom w:val="single" w:sz="4" w:space="0" w:color="auto"/>
            </w:tcBorders>
          </w:tcPr>
          <w:p w:rsidR="002F0CF0" w:rsidRDefault="002F0CF0" w:rsidP="00292F02">
            <w:pPr>
              <w:pStyle w:val="Paragraphedeliste1"/>
              <w:ind w:left="0"/>
              <w:jc w:val="both"/>
              <w:rPr>
                <w:b/>
              </w:rPr>
            </w:pPr>
            <w:r w:rsidRPr="00024C90">
              <w:rPr>
                <w:b/>
              </w:rPr>
              <w:t>2016</w:t>
            </w:r>
          </w:p>
          <w:p w:rsidR="002F0CF0" w:rsidRPr="00292F02" w:rsidRDefault="002F0CF0" w:rsidP="00292F02">
            <w:pPr>
              <w:pStyle w:val="Paragraphedeliste1"/>
              <w:ind w:left="0"/>
              <w:jc w:val="both"/>
            </w:pPr>
            <w:r w:rsidRPr="00292F02">
              <w:t xml:space="preserve">La Haute fonctionnaire à l’égalité </w:t>
            </w:r>
            <w:r>
              <w:t xml:space="preserve">des droits </w:t>
            </w:r>
            <w:r w:rsidRPr="00292F02">
              <w:t xml:space="preserve">a effectué </w:t>
            </w:r>
            <w:r>
              <w:t>des déplacem</w:t>
            </w:r>
            <w:r w:rsidRPr="00292F02">
              <w:t>ents en province en l</w:t>
            </w:r>
            <w:r>
              <w:t>ia</w:t>
            </w:r>
            <w:r w:rsidR="00A45F90">
              <w:t>i</w:t>
            </w:r>
            <w:r w:rsidRPr="00292F02">
              <w:t xml:space="preserve">son avec le CNFPT et a réalisé une formation à l’ENA à ce sujet </w:t>
            </w:r>
          </w:p>
        </w:tc>
        <w:tc>
          <w:tcPr>
            <w:tcW w:w="300" w:type="dxa"/>
            <w:tcBorders>
              <w:top w:val="single" w:sz="4" w:space="0" w:color="auto"/>
              <w:bottom w:val="single" w:sz="4" w:space="0" w:color="auto"/>
            </w:tcBorders>
            <w:shd w:val="clear" w:color="auto" w:fill="548DD4" w:themeFill="text2" w:themeFillTint="99"/>
            <w:vAlign w:val="center"/>
          </w:tcPr>
          <w:p w:rsidR="002F0CF0" w:rsidRPr="00E10B2A" w:rsidRDefault="002F0CF0" w:rsidP="00AF0418">
            <w:pPr>
              <w:ind w:left="-57"/>
              <w:rPr>
                <w:rFonts w:ascii="DejaVu Sans" w:hAnsi="DejaVu Sans" w:cs="DejaVu Sans"/>
                <w:b/>
              </w:rPr>
            </w:pPr>
            <w:r>
              <w:rPr>
                <w:b/>
              </w:rPr>
              <w:sym w:font="Monotype Sorts" w:char="F0DA"/>
            </w:r>
          </w:p>
        </w:tc>
      </w:tr>
      <w:tr w:rsidR="004F47E1" w:rsidRPr="00F839E4" w:rsidTr="002F0CF0">
        <w:tc>
          <w:tcPr>
            <w:tcW w:w="5637" w:type="dxa"/>
            <w:tcBorders>
              <w:left w:val="nil"/>
              <w:bottom w:val="single" w:sz="24" w:space="0" w:color="800000"/>
              <w:right w:val="nil"/>
            </w:tcBorders>
          </w:tcPr>
          <w:p w:rsidR="004F47E1" w:rsidRDefault="004F47E1" w:rsidP="00AE52F4">
            <w:pPr>
              <w:rPr>
                <w:b/>
                <w:sz w:val="18"/>
                <w:szCs w:val="18"/>
              </w:rPr>
            </w:pPr>
          </w:p>
        </w:tc>
        <w:tc>
          <w:tcPr>
            <w:tcW w:w="4064" w:type="dxa"/>
            <w:tcBorders>
              <w:left w:val="nil"/>
              <w:bottom w:val="single" w:sz="24" w:space="0" w:color="800000"/>
              <w:right w:val="nil"/>
            </w:tcBorders>
          </w:tcPr>
          <w:p w:rsidR="004F47E1" w:rsidRPr="00F839E4" w:rsidRDefault="004F47E1" w:rsidP="00AE52F4">
            <w:pPr>
              <w:rPr>
                <w:b/>
                <w:sz w:val="18"/>
                <w:szCs w:val="18"/>
              </w:rPr>
            </w:pPr>
          </w:p>
        </w:tc>
        <w:tc>
          <w:tcPr>
            <w:tcW w:w="300" w:type="dxa"/>
            <w:tcBorders>
              <w:bottom w:val="single" w:sz="4" w:space="0" w:color="auto"/>
            </w:tcBorders>
            <w:shd w:val="clear" w:color="auto" w:fill="auto"/>
            <w:vAlign w:val="center"/>
          </w:tcPr>
          <w:p w:rsidR="004F47E1" w:rsidRPr="00E10B2A" w:rsidRDefault="004F47E1" w:rsidP="00556FF7">
            <w:pPr>
              <w:ind w:left="-57"/>
              <w:rPr>
                <w:rFonts w:ascii="DejaVu Sans" w:hAnsi="DejaVu Sans" w:cs="DejaVu Sans"/>
                <w:b/>
              </w:rPr>
            </w:pPr>
          </w:p>
        </w:tc>
      </w:tr>
      <w:tr w:rsidR="004F47E1" w:rsidRPr="00F839E4" w:rsidTr="003D654A">
        <w:tc>
          <w:tcPr>
            <w:tcW w:w="5637" w:type="dxa"/>
            <w:tcBorders>
              <w:top w:val="single" w:sz="24" w:space="0" w:color="800000"/>
              <w:left w:val="nil"/>
              <w:bottom w:val="single" w:sz="4" w:space="0" w:color="auto"/>
              <w:right w:val="nil"/>
            </w:tcBorders>
          </w:tcPr>
          <w:p w:rsidR="004F47E1" w:rsidRDefault="004F47E1" w:rsidP="00AE52F4">
            <w:pPr>
              <w:rPr>
                <w:b/>
                <w:sz w:val="18"/>
                <w:szCs w:val="18"/>
              </w:rPr>
            </w:pPr>
          </w:p>
          <w:p w:rsidR="004F47E1" w:rsidRDefault="004F47E1" w:rsidP="00AE52F4">
            <w:pPr>
              <w:rPr>
                <w:b/>
                <w:sz w:val="18"/>
                <w:szCs w:val="18"/>
              </w:rPr>
            </w:pPr>
          </w:p>
          <w:p w:rsidR="004F47E1" w:rsidRPr="00982566" w:rsidRDefault="001D6475" w:rsidP="007A3036">
            <w:pPr>
              <w:rPr>
                <w:b/>
                <w:sz w:val="20"/>
                <w:szCs w:val="20"/>
              </w:rPr>
            </w:pPr>
            <w:r>
              <w:rPr>
                <w:b/>
                <w:noProof/>
                <w:sz w:val="18"/>
                <w:szCs w:val="18"/>
                <w:lang w:eastAsia="fr-FR"/>
              </w:rPr>
              <w:drawing>
                <wp:inline distT="0" distB="0" distL="0" distR="0">
                  <wp:extent cx="1076325" cy="857250"/>
                  <wp:effectExtent l="19050" t="0" r="9525" b="0"/>
                  <wp:docPr id="4" name="Image 4" descr="MC900056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116[1]"/>
                          <pic:cNvPicPr>
                            <a:picLocks noChangeAspect="1" noChangeArrowheads="1"/>
                          </pic:cNvPicPr>
                        </pic:nvPicPr>
                        <pic:blipFill>
                          <a:blip r:embed="rId10" cstate="print"/>
                          <a:srcRect/>
                          <a:stretch>
                            <a:fillRect/>
                          </a:stretch>
                        </pic:blipFill>
                        <pic:spPr bwMode="auto">
                          <a:xfrm>
                            <a:off x="0" y="0"/>
                            <a:ext cx="1076325" cy="857250"/>
                          </a:xfrm>
                          <a:prstGeom prst="rect">
                            <a:avLst/>
                          </a:prstGeom>
                          <a:noFill/>
                          <a:ln w="9525">
                            <a:noFill/>
                            <a:miter lim="800000"/>
                            <a:headEnd/>
                            <a:tailEnd/>
                          </a:ln>
                        </pic:spPr>
                      </pic:pic>
                    </a:graphicData>
                  </a:graphic>
                </wp:inline>
              </w:drawing>
            </w:r>
          </w:p>
        </w:tc>
        <w:tc>
          <w:tcPr>
            <w:tcW w:w="4064" w:type="dxa"/>
            <w:tcBorders>
              <w:top w:val="single" w:sz="24" w:space="0" w:color="800000"/>
              <w:left w:val="nil"/>
              <w:bottom w:val="single" w:sz="4" w:space="0" w:color="auto"/>
              <w:right w:val="nil"/>
            </w:tcBorders>
            <w:vAlign w:val="center"/>
          </w:tcPr>
          <w:p w:rsidR="004F47E1" w:rsidRDefault="004F47E1" w:rsidP="00382F40">
            <w:pPr>
              <w:ind w:left="1943"/>
              <w:jc w:val="right"/>
              <w:rPr>
                <w:rFonts w:ascii="Arial" w:hAnsi="Arial" w:cs="Arial"/>
                <w:b/>
                <w:sz w:val="22"/>
                <w:szCs w:val="22"/>
              </w:rPr>
            </w:pPr>
          </w:p>
          <w:p w:rsidR="004F47E1" w:rsidRPr="006F30E9" w:rsidRDefault="004F47E1" w:rsidP="00382F40">
            <w:pPr>
              <w:ind w:left="1943"/>
              <w:jc w:val="right"/>
              <w:rPr>
                <w:rFonts w:ascii="Arial" w:hAnsi="Arial" w:cs="Arial"/>
                <w:b/>
                <w:sz w:val="22"/>
                <w:szCs w:val="22"/>
              </w:rPr>
            </w:pPr>
            <w:r w:rsidRPr="006F30E9">
              <w:rPr>
                <w:rFonts w:ascii="Arial" w:hAnsi="Arial" w:cs="Arial"/>
                <w:b/>
                <w:sz w:val="22"/>
                <w:szCs w:val="22"/>
              </w:rPr>
              <w:t>Thème III - Former l’ensemble des personnels à la problématique de l’égalité femmes/hommes</w:t>
            </w:r>
          </w:p>
        </w:tc>
        <w:tc>
          <w:tcPr>
            <w:tcW w:w="300" w:type="dxa"/>
            <w:tcBorders>
              <w:top w:val="single" w:sz="4" w:space="0" w:color="auto"/>
              <w:left w:val="nil"/>
              <w:bottom w:val="single" w:sz="4" w:space="0" w:color="auto"/>
              <w:right w:val="nil"/>
            </w:tcBorders>
            <w:shd w:val="clear" w:color="auto" w:fill="auto"/>
            <w:vAlign w:val="center"/>
          </w:tcPr>
          <w:p w:rsidR="004F47E1" w:rsidRPr="00E10B2A" w:rsidRDefault="004F47E1" w:rsidP="00577575">
            <w:pPr>
              <w:ind w:left="-57"/>
              <w:rPr>
                <w:rFonts w:ascii="DejaVu Sans" w:hAnsi="DejaVu Sans" w:cs="DejaVu Sans"/>
                <w:b/>
              </w:rPr>
            </w:pPr>
          </w:p>
        </w:tc>
      </w:tr>
      <w:tr w:rsidR="004F47E1" w:rsidRPr="00F839E4" w:rsidTr="00D71F10">
        <w:tc>
          <w:tcPr>
            <w:tcW w:w="9701" w:type="dxa"/>
            <w:gridSpan w:val="2"/>
            <w:tcBorders>
              <w:bottom w:val="single" w:sz="4" w:space="0" w:color="auto"/>
            </w:tcBorders>
          </w:tcPr>
          <w:p w:rsidR="004F47E1" w:rsidRDefault="004F47E1" w:rsidP="00AE52F4">
            <w:pPr>
              <w:rPr>
                <w:sz w:val="20"/>
                <w:szCs w:val="20"/>
              </w:rPr>
            </w:pPr>
          </w:p>
          <w:p w:rsidR="004F47E1" w:rsidRPr="009F5867" w:rsidRDefault="004F47E1" w:rsidP="00D71F10">
            <w:pPr>
              <w:pStyle w:val="Paragraphedeliste1"/>
              <w:ind w:left="0"/>
              <w:jc w:val="both"/>
              <w:rPr>
                <w:b/>
              </w:rPr>
            </w:pPr>
            <w:r w:rsidRPr="009F5867">
              <w:rPr>
                <w:b/>
              </w:rPr>
              <w:t xml:space="preserve">Mesure </w:t>
            </w:r>
            <w:r>
              <w:rPr>
                <w:b/>
              </w:rPr>
              <w:t>3.</w:t>
            </w:r>
            <w:r w:rsidRPr="009F5867">
              <w:rPr>
                <w:b/>
              </w:rPr>
              <w:t>1 : Constituer, former et animer un réseau de référents diversité.</w:t>
            </w:r>
          </w:p>
        </w:tc>
        <w:tc>
          <w:tcPr>
            <w:tcW w:w="300" w:type="dxa"/>
            <w:tcBorders>
              <w:left w:val="nil"/>
              <w:bottom w:val="single" w:sz="4" w:space="0" w:color="auto"/>
              <w:right w:val="single" w:sz="4" w:space="0" w:color="auto"/>
            </w:tcBorders>
            <w:vAlign w:val="center"/>
          </w:tcPr>
          <w:p w:rsidR="004F47E1" w:rsidRPr="00E10B2A" w:rsidRDefault="004F47E1" w:rsidP="00D41219">
            <w:pPr>
              <w:ind w:left="-57"/>
              <w:rPr>
                <w:rFonts w:ascii="DejaVu Sans" w:hAnsi="DejaVu Sans" w:cs="DejaVu Sans"/>
                <w:b/>
              </w:rPr>
            </w:pPr>
          </w:p>
        </w:tc>
      </w:tr>
      <w:tr w:rsidR="004F47E1" w:rsidRPr="00F839E4" w:rsidTr="008950E2">
        <w:tc>
          <w:tcPr>
            <w:tcW w:w="5637" w:type="dxa"/>
            <w:tcBorders>
              <w:top w:val="single" w:sz="4" w:space="0" w:color="auto"/>
            </w:tcBorders>
          </w:tcPr>
          <w:p w:rsidR="004F47E1" w:rsidRPr="00FC043D" w:rsidRDefault="004F47E1" w:rsidP="00163A6C">
            <w:pPr>
              <w:numPr>
                <w:ilvl w:val="0"/>
                <w:numId w:val="21"/>
              </w:numPr>
              <w:ind w:left="709"/>
              <w:rPr>
                <w:i/>
                <w:sz w:val="20"/>
                <w:szCs w:val="20"/>
              </w:rPr>
            </w:pPr>
            <w:r w:rsidRPr="00FC043D">
              <w:rPr>
                <w:i/>
                <w:sz w:val="20"/>
                <w:szCs w:val="20"/>
              </w:rPr>
              <w:lastRenderedPageBreak/>
              <w:t>Poursuivre la formation des nouveaux référents diversité</w:t>
            </w:r>
          </w:p>
        </w:tc>
        <w:tc>
          <w:tcPr>
            <w:tcW w:w="4064" w:type="dxa"/>
            <w:tcBorders>
              <w:top w:val="single" w:sz="4" w:space="0" w:color="auto"/>
            </w:tcBorders>
          </w:tcPr>
          <w:p w:rsidR="004F47E1" w:rsidRPr="008F3D2C" w:rsidRDefault="004F47E1" w:rsidP="00BC3E14">
            <w:pPr>
              <w:rPr>
                <w:sz w:val="20"/>
                <w:szCs w:val="20"/>
              </w:rPr>
            </w:pPr>
            <w:r w:rsidRPr="008F3D2C">
              <w:rPr>
                <w:sz w:val="20"/>
                <w:szCs w:val="20"/>
              </w:rPr>
              <w:t>Prévision : juin 2015</w:t>
            </w:r>
          </w:p>
        </w:tc>
        <w:tc>
          <w:tcPr>
            <w:tcW w:w="30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4F47E1" w:rsidRPr="00E10B2A" w:rsidRDefault="008950E2" w:rsidP="00D41219">
            <w:pPr>
              <w:ind w:left="-57"/>
              <w:rPr>
                <w:rFonts w:ascii="DejaVu Sans" w:hAnsi="DejaVu Sans" w:cs="DejaVu Sans"/>
                <w:b/>
              </w:rPr>
            </w:pPr>
            <w:r>
              <w:rPr>
                <w:b/>
              </w:rPr>
              <w:sym w:font="Monotype Sorts" w:char="F050"/>
            </w:r>
          </w:p>
        </w:tc>
      </w:tr>
      <w:tr w:rsidR="004F47E1" w:rsidRPr="00F839E4" w:rsidTr="008950E2">
        <w:tc>
          <w:tcPr>
            <w:tcW w:w="5637" w:type="dxa"/>
            <w:tcBorders>
              <w:top w:val="nil"/>
            </w:tcBorders>
          </w:tcPr>
          <w:p w:rsidR="004F47E1" w:rsidRPr="00FC043D" w:rsidRDefault="004F47E1" w:rsidP="00DA5EA5">
            <w:pPr>
              <w:pStyle w:val="Paragraphedeliste1"/>
              <w:numPr>
                <w:ilvl w:val="0"/>
                <w:numId w:val="21"/>
              </w:numPr>
              <w:ind w:left="709"/>
              <w:jc w:val="both"/>
              <w:rPr>
                <w:i/>
              </w:rPr>
            </w:pPr>
            <w:r w:rsidRPr="00FC043D">
              <w:rPr>
                <w:i/>
              </w:rPr>
              <w:t>Organiser au moins 1 séminaire national par an</w:t>
            </w:r>
          </w:p>
        </w:tc>
        <w:tc>
          <w:tcPr>
            <w:tcW w:w="4064" w:type="dxa"/>
            <w:tcBorders>
              <w:top w:val="nil"/>
            </w:tcBorders>
          </w:tcPr>
          <w:p w:rsidR="004F47E1" w:rsidRPr="00A8001A" w:rsidRDefault="004F47E1" w:rsidP="00BC3E14">
            <w:pPr>
              <w:rPr>
                <w:sz w:val="20"/>
                <w:szCs w:val="20"/>
              </w:rPr>
            </w:pPr>
            <w:r w:rsidRPr="00A8001A">
              <w:rPr>
                <w:sz w:val="20"/>
                <w:szCs w:val="20"/>
              </w:rPr>
              <w:t>Prévision : octobre 2015</w:t>
            </w:r>
          </w:p>
        </w:tc>
        <w:tc>
          <w:tcPr>
            <w:tcW w:w="300"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4F47E1" w:rsidRPr="00E10B2A" w:rsidRDefault="008950E2" w:rsidP="00D41219">
            <w:pPr>
              <w:ind w:left="-57"/>
              <w:rPr>
                <w:rFonts w:ascii="DejaVu Sans" w:hAnsi="DejaVu Sans" w:cs="DejaVu Sans"/>
                <w:b/>
              </w:rPr>
            </w:pPr>
            <w:r>
              <w:rPr>
                <w:b/>
              </w:rPr>
              <w:sym w:font="Monotype Sorts" w:char="F050"/>
            </w:r>
          </w:p>
        </w:tc>
      </w:tr>
      <w:tr w:rsidR="004F47E1" w:rsidRPr="00F839E4" w:rsidTr="00D71F10">
        <w:tc>
          <w:tcPr>
            <w:tcW w:w="9701" w:type="dxa"/>
            <w:gridSpan w:val="2"/>
            <w:tcBorders>
              <w:bottom w:val="single" w:sz="4" w:space="0" w:color="auto"/>
            </w:tcBorders>
          </w:tcPr>
          <w:p w:rsidR="004F47E1" w:rsidRPr="00024C90" w:rsidRDefault="004F47E1" w:rsidP="00AE52F4">
            <w:pPr>
              <w:rPr>
                <w:sz w:val="20"/>
                <w:szCs w:val="20"/>
              </w:rPr>
            </w:pPr>
          </w:p>
          <w:p w:rsidR="004F47E1" w:rsidRPr="00024C90" w:rsidRDefault="004F47E1" w:rsidP="00D86554">
            <w:pPr>
              <w:pStyle w:val="Paragraphedeliste1"/>
              <w:ind w:left="43"/>
              <w:jc w:val="both"/>
              <w:rPr>
                <w:b/>
              </w:rPr>
            </w:pPr>
            <w:r w:rsidRPr="00024C90">
              <w:rPr>
                <w:b/>
              </w:rPr>
              <w:t xml:space="preserve">Mesure 3.2 : Former à ces enjeux l’encadrement dirigeant, supérieur et intermédiaire, les agents exerçant des fonctions RH et les représentants du personnel </w:t>
            </w:r>
          </w:p>
        </w:tc>
        <w:tc>
          <w:tcPr>
            <w:tcW w:w="300" w:type="dxa"/>
            <w:tcBorders>
              <w:top w:val="single" w:sz="4" w:space="0" w:color="auto"/>
              <w:left w:val="nil"/>
              <w:bottom w:val="single" w:sz="4" w:space="0" w:color="auto"/>
              <w:right w:val="single" w:sz="4" w:space="0" w:color="auto"/>
            </w:tcBorders>
            <w:vAlign w:val="center"/>
          </w:tcPr>
          <w:p w:rsidR="004F47E1" w:rsidRPr="00E10B2A" w:rsidRDefault="004F47E1" w:rsidP="00D41219">
            <w:pPr>
              <w:ind w:left="-57"/>
              <w:rPr>
                <w:rFonts w:ascii="DejaVu Sans" w:hAnsi="DejaVu Sans" w:cs="DejaVu Sans"/>
                <w:b/>
              </w:rPr>
            </w:pPr>
          </w:p>
        </w:tc>
      </w:tr>
      <w:tr w:rsidR="004F47E1" w:rsidRPr="00F839E4" w:rsidTr="0086642C">
        <w:tc>
          <w:tcPr>
            <w:tcW w:w="5637" w:type="dxa"/>
            <w:tcBorders>
              <w:top w:val="nil"/>
            </w:tcBorders>
          </w:tcPr>
          <w:p w:rsidR="004F47E1" w:rsidRPr="00FC043D" w:rsidRDefault="004F47E1" w:rsidP="00411C4C">
            <w:pPr>
              <w:pStyle w:val="Paragraphedeliste1"/>
              <w:numPr>
                <w:ilvl w:val="0"/>
                <w:numId w:val="21"/>
              </w:numPr>
              <w:ind w:left="709" w:hanging="300"/>
              <w:jc w:val="both"/>
              <w:rPr>
                <w:i/>
              </w:rPr>
            </w:pPr>
            <w:r w:rsidRPr="00FC043D">
              <w:rPr>
                <w:i/>
              </w:rPr>
              <w:t>Poursuivre les formations assurées par les référents diversité</w:t>
            </w:r>
          </w:p>
          <w:p w:rsidR="004F47E1" w:rsidRPr="00F839E4" w:rsidRDefault="004F47E1" w:rsidP="007B4EA0">
            <w:pPr>
              <w:pStyle w:val="Paragraphedeliste1"/>
              <w:ind w:left="43"/>
              <w:jc w:val="both"/>
            </w:pPr>
            <w:r>
              <w:t xml:space="preserve">Ces formations et sessions de sensibilisation intègrent un volet sur l’égalité professionnelle et </w:t>
            </w:r>
            <w:proofErr w:type="gramStart"/>
            <w:r>
              <w:t>la</w:t>
            </w:r>
            <w:proofErr w:type="gramEnd"/>
            <w:r>
              <w:t xml:space="preserve"> non discrimination en raison du genre.</w:t>
            </w:r>
          </w:p>
        </w:tc>
        <w:tc>
          <w:tcPr>
            <w:tcW w:w="4064" w:type="dxa"/>
            <w:tcBorders>
              <w:top w:val="nil"/>
            </w:tcBorders>
          </w:tcPr>
          <w:p w:rsidR="004F47E1" w:rsidRPr="00024C90" w:rsidRDefault="004F47E1" w:rsidP="00982566">
            <w:pPr>
              <w:rPr>
                <w:b/>
                <w:sz w:val="20"/>
                <w:szCs w:val="20"/>
              </w:rPr>
            </w:pPr>
          </w:p>
        </w:tc>
        <w:tc>
          <w:tcPr>
            <w:tcW w:w="300" w:type="dxa"/>
            <w:tcBorders>
              <w:top w:val="single" w:sz="4" w:space="0" w:color="auto"/>
              <w:bottom w:val="single" w:sz="4" w:space="0" w:color="auto"/>
            </w:tcBorders>
            <w:shd w:val="clear" w:color="auto" w:fill="00B050"/>
            <w:vAlign w:val="center"/>
          </w:tcPr>
          <w:p w:rsidR="004F47E1" w:rsidRPr="00E10B2A" w:rsidRDefault="004F47E1" w:rsidP="004605F5">
            <w:pPr>
              <w:ind w:left="-57"/>
              <w:rPr>
                <w:rFonts w:ascii="DejaVu Sans" w:hAnsi="DejaVu Sans" w:cs="DejaVu Sans"/>
                <w:b/>
              </w:rPr>
            </w:pPr>
            <w:r w:rsidRPr="00E10B2A">
              <w:rPr>
                <w:rFonts w:ascii="DejaVu Sans" w:hAnsi="DejaVu Sans" w:cs="DejaVu Sans"/>
                <w:b/>
              </w:rPr>
              <w:t>●</w:t>
            </w:r>
          </w:p>
        </w:tc>
      </w:tr>
      <w:tr w:rsidR="004F47E1" w:rsidRPr="00F839E4" w:rsidTr="00A8001A">
        <w:tc>
          <w:tcPr>
            <w:tcW w:w="5637" w:type="dxa"/>
            <w:tcBorders>
              <w:top w:val="nil"/>
            </w:tcBorders>
          </w:tcPr>
          <w:p w:rsidR="004F47E1" w:rsidRPr="0047590E" w:rsidRDefault="004F47E1" w:rsidP="008945CF">
            <w:pPr>
              <w:pStyle w:val="Paragraphedeliste1"/>
              <w:numPr>
                <w:ilvl w:val="0"/>
                <w:numId w:val="21"/>
              </w:numPr>
              <w:ind w:left="709" w:hanging="300"/>
              <w:jc w:val="both"/>
            </w:pPr>
            <w:r>
              <w:t>Programmer avec le bureau de la formation des formations/sensibilisations spécifiques à l’égalité professionnelle entre les femmes et les hommes en 2015. Deux types de sessions sont prévus : une pour l’encadrement et une pour les autres agents.</w:t>
            </w:r>
          </w:p>
        </w:tc>
        <w:tc>
          <w:tcPr>
            <w:tcW w:w="4064" w:type="dxa"/>
            <w:tcBorders>
              <w:top w:val="nil"/>
            </w:tcBorders>
          </w:tcPr>
          <w:p w:rsidR="004F47E1" w:rsidRPr="00024C90" w:rsidRDefault="004F47E1" w:rsidP="00982566">
            <w:pPr>
              <w:rPr>
                <w:b/>
                <w:sz w:val="20"/>
                <w:szCs w:val="20"/>
              </w:rPr>
            </w:pPr>
            <w:r>
              <w:rPr>
                <w:b/>
                <w:sz w:val="20"/>
                <w:szCs w:val="20"/>
              </w:rPr>
              <w:t>2015</w:t>
            </w:r>
          </w:p>
        </w:tc>
        <w:tc>
          <w:tcPr>
            <w:tcW w:w="300" w:type="dxa"/>
            <w:tcBorders>
              <w:top w:val="single" w:sz="4" w:space="0" w:color="auto"/>
              <w:bottom w:val="single" w:sz="4" w:space="0" w:color="auto"/>
            </w:tcBorders>
            <w:shd w:val="clear" w:color="auto" w:fill="548DD4"/>
            <w:vAlign w:val="center"/>
          </w:tcPr>
          <w:p w:rsidR="004F47E1" w:rsidRPr="00E10B2A" w:rsidRDefault="004F47E1" w:rsidP="00F24058">
            <w:pPr>
              <w:ind w:left="-57"/>
              <w:rPr>
                <w:rFonts w:ascii="DejaVu Sans" w:hAnsi="DejaVu Sans" w:cs="DejaVu Sans"/>
                <w:b/>
              </w:rPr>
            </w:pPr>
            <w:r>
              <w:rPr>
                <w:b/>
              </w:rPr>
              <w:sym w:font="Monotype Sorts" w:char="F0DA"/>
            </w:r>
          </w:p>
        </w:tc>
      </w:tr>
      <w:tr w:rsidR="004F47E1" w:rsidRPr="00F839E4" w:rsidTr="00122D2F">
        <w:tc>
          <w:tcPr>
            <w:tcW w:w="5637" w:type="dxa"/>
            <w:tcBorders>
              <w:top w:val="nil"/>
            </w:tcBorders>
          </w:tcPr>
          <w:p w:rsidR="004F47E1" w:rsidRPr="00FC043D" w:rsidRDefault="004F47E1" w:rsidP="00411C4C">
            <w:pPr>
              <w:pStyle w:val="Paragraphedeliste1"/>
              <w:numPr>
                <w:ilvl w:val="0"/>
                <w:numId w:val="21"/>
              </w:numPr>
              <w:ind w:left="709" w:hanging="300"/>
              <w:jc w:val="both"/>
              <w:rPr>
                <w:i/>
              </w:rPr>
            </w:pPr>
            <w:r w:rsidRPr="00FC043D">
              <w:rPr>
                <w:i/>
              </w:rPr>
              <w:t>Former les nouveaux cadres dirigeants</w:t>
            </w:r>
            <w:r>
              <w:rPr>
                <w:i/>
              </w:rPr>
              <w:t xml:space="preserve"> participant au</w:t>
            </w:r>
            <w:r w:rsidRPr="00FC043D">
              <w:rPr>
                <w:i/>
              </w:rPr>
              <w:t xml:space="preserve"> CODIR/CODAC</w:t>
            </w:r>
          </w:p>
        </w:tc>
        <w:tc>
          <w:tcPr>
            <w:tcW w:w="4064" w:type="dxa"/>
            <w:tcBorders>
              <w:top w:val="nil"/>
            </w:tcBorders>
          </w:tcPr>
          <w:p w:rsidR="004F47E1" w:rsidRPr="00024C90" w:rsidRDefault="004F47E1" w:rsidP="00982566">
            <w:pPr>
              <w:rPr>
                <w:b/>
                <w:sz w:val="20"/>
                <w:szCs w:val="20"/>
              </w:rPr>
            </w:pPr>
          </w:p>
        </w:tc>
        <w:tc>
          <w:tcPr>
            <w:tcW w:w="300" w:type="dxa"/>
            <w:tcBorders>
              <w:top w:val="single" w:sz="4" w:space="0" w:color="auto"/>
              <w:bottom w:val="single" w:sz="4" w:space="0" w:color="auto"/>
            </w:tcBorders>
            <w:shd w:val="clear" w:color="auto" w:fill="auto"/>
            <w:vAlign w:val="center"/>
          </w:tcPr>
          <w:p w:rsidR="004F47E1" w:rsidRPr="00E10B2A" w:rsidRDefault="004F47E1" w:rsidP="00F24058">
            <w:pPr>
              <w:ind w:left="-57"/>
              <w:rPr>
                <w:rFonts w:ascii="DejaVu Sans" w:hAnsi="DejaVu Sans" w:cs="DejaVu Sans"/>
                <w:b/>
              </w:rPr>
            </w:pPr>
          </w:p>
        </w:tc>
      </w:tr>
      <w:tr w:rsidR="004F47E1" w:rsidRPr="00F839E4" w:rsidTr="00122D2F">
        <w:tc>
          <w:tcPr>
            <w:tcW w:w="5637" w:type="dxa"/>
            <w:tcBorders>
              <w:top w:val="nil"/>
            </w:tcBorders>
          </w:tcPr>
          <w:p w:rsidR="004F47E1" w:rsidRDefault="004F47E1" w:rsidP="00411C4C">
            <w:pPr>
              <w:pStyle w:val="Paragraphedeliste1"/>
              <w:numPr>
                <w:ilvl w:val="0"/>
                <w:numId w:val="21"/>
              </w:numPr>
              <w:ind w:left="709" w:hanging="300"/>
              <w:jc w:val="both"/>
            </w:pPr>
            <w:r>
              <w:t xml:space="preserve">Mettre en place un module de formation obligatoire pour les autres agents d’encadrement nouvellement entrés en fonction, et ce dès leur prise de poste. </w:t>
            </w:r>
          </w:p>
        </w:tc>
        <w:tc>
          <w:tcPr>
            <w:tcW w:w="4064" w:type="dxa"/>
            <w:tcBorders>
              <w:top w:val="nil"/>
            </w:tcBorders>
          </w:tcPr>
          <w:p w:rsidR="004F47E1" w:rsidRPr="00024C90" w:rsidRDefault="004F47E1" w:rsidP="00982566">
            <w:pPr>
              <w:rPr>
                <w:b/>
                <w:sz w:val="20"/>
                <w:szCs w:val="20"/>
              </w:rPr>
            </w:pPr>
            <w:r>
              <w:rPr>
                <w:b/>
                <w:sz w:val="20"/>
                <w:szCs w:val="20"/>
              </w:rPr>
              <w:t>2015</w:t>
            </w:r>
          </w:p>
        </w:tc>
        <w:tc>
          <w:tcPr>
            <w:tcW w:w="300" w:type="dxa"/>
            <w:tcBorders>
              <w:top w:val="single" w:sz="4" w:space="0" w:color="auto"/>
              <w:bottom w:val="single" w:sz="4" w:space="0" w:color="auto"/>
            </w:tcBorders>
            <w:shd w:val="clear" w:color="auto" w:fill="auto"/>
            <w:vAlign w:val="center"/>
          </w:tcPr>
          <w:p w:rsidR="004F47E1" w:rsidRPr="00E10B2A" w:rsidRDefault="004F47E1" w:rsidP="00F24058">
            <w:pPr>
              <w:ind w:left="-57"/>
              <w:rPr>
                <w:rFonts w:ascii="DejaVu Sans" w:hAnsi="DejaVu Sans" w:cs="DejaVu Sans"/>
                <w:b/>
              </w:rPr>
            </w:pPr>
          </w:p>
        </w:tc>
      </w:tr>
      <w:tr w:rsidR="004F47E1" w:rsidRPr="00F839E4" w:rsidTr="00122D2F">
        <w:tc>
          <w:tcPr>
            <w:tcW w:w="5637" w:type="dxa"/>
            <w:tcBorders>
              <w:top w:val="nil"/>
            </w:tcBorders>
          </w:tcPr>
          <w:p w:rsidR="004F47E1" w:rsidRDefault="004F47E1" w:rsidP="00411C4C">
            <w:pPr>
              <w:pStyle w:val="Paragraphedeliste1"/>
              <w:numPr>
                <w:ilvl w:val="0"/>
                <w:numId w:val="21"/>
              </w:numPr>
              <w:ind w:left="709" w:hanging="300"/>
              <w:jc w:val="both"/>
            </w:pPr>
            <w:r>
              <w:t xml:space="preserve">Sensibiliser/ former les nouveaux membres de CAP, CT, CHSCT issus des élections de décembre 2014. Organiser  un séminaire à cet effet au deuxième semestre 2015. </w:t>
            </w:r>
          </w:p>
        </w:tc>
        <w:tc>
          <w:tcPr>
            <w:tcW w:w="4064" w:type="dxa"/>
            <w:tcBorders>
              <w:top w:val="nil"/>
            </w:tcBorders>
          </w:tcPr>
          <w:p w:rsidR="004F47E1" w:rsidRPr="00024C90" w:rsidRDefault="004F47E1" w:rsidP="00982566">
            <w:pPr>
              <w:rPr>
                <w:b/>
                <w:sz w:val="20"/>
                <w:szCs w:val="20"/>
              </w:rPr>
            </w:pPr>
            <w:r>
              <w:rPr>
                <w:b/>
                <w:sz w:val="20"/>
                <w:szCs w:val="20"/>
              </w:rPr>
              <w:t>2015</w:t>
            </w:r>
          </w:p>
        </w:tc>
        <w:tc>
          <w:tcPr>
            <w:tcW w:w="300" w:type="dxa"/>
            <w:tcBorders>
              <w:top w:val="single" w:sz="4" w:space="0" w:color="auto"/>
              <w:bottom w:val="single" w:sz="4" w:space="0" w:color="auto"/>
            </w:tcBorders>
            <w:shd w:val="clear" w:color="auto" w:fill="auto"/>
            <w:vAlign w:val="center"/>
          </w:tcPr>
          <w:p w:rsidR="004F47E1" w:rsidRPr="00E10B2A" w:rsidRDefault="004F47E1" w:rsidP="00F24058">
            <w:pPr>
              <w:ind w:left="-57"/>
              <w:rPr>
                <w:rFonts w:ascii="DejaVu Sans" w:hAnsi="DejaVu Sans" w:cs="DejaVu Sans"/>
                <w:b/>
              </w:rPr>
            </w:pPr>
          </w:p>
        </w:tc>
      </w:tr>
      <w:tr w:rsidR="004F47E1" w:rsidRPr="00F839E4" w:rsidTr="00A8001A">
        <w:tc>
          <w:tcPr>
            <w:tcW w:w="5637" w:type="dxa"/>
            <w:tcBorders>
              <w:top w:val="nil"/>
            </w:tcBorders>
          </w:tcPr>
          <w:p w:rsidR="004F47E1" w:rsidRDefault="004F47E1" w:rsidP="00EF39D3">
            <w:pPr>
              <w:pStyle w:val="Paragraphedeliste1"/>
              <w:ind w:left="0"/>
              <w:jc w:val="both"/>
            </w:pPr>
            <w:r>
              <w:t>Un chantier d’intégration des thématiques égalité-diversité dans les formations métiers est lancé en 2014 avec le bureau de la formation.</w:t>
            </w:r>
          </w:p>
          <w:p w:rsidR="004F47E1" w:rsidRDefault="004F47E1" w:rsidP="00EF39D3">
            <w:pPr>
              <w:pStyle w:val="Paragraphedeliste1"/>
              <w:numPr>
                <w:ilvl w:val="0"/>
                <w:numId w:val="21"/>
              </w:numPr>
              <w:ind w:left="709"/>
              <w:jc w:val="both"/>
            </w:pPr>
            <w:r>
              <w:t>Imprégner de ces thématiques, entre 2014 et 2016, les quelques centaines de formations métiers, dans l’objectif notamment de bannir tous stéréotypes et représentations.</w:t>
            </w:r>
          </w:p>
          <w:p w:rsidR="004F47E1" w:rsidRDefault="004F47E1" w:rsidP="00F4445E">
            <w:pPr>
              <w:pStyle w:val="Paragraphedeliste1"/>
              <w:ind w:left="0"/>
              <w:jc w:val="both"/>
            </w:pPr>
            <w:r>
              <w:t>A terme, tout formateur en formation statutaire ou continue devra avoir préalablement suivi une formation à l’égalité F-H et à la diversité.</w:t>
            </w:r>
          </w:p>
        </w:tc>
        <w:tc>
          <w:tcPr>
            <w:tcW w:w="4064" w:type="dxa"/>
            <w:tcBorders>
              <w:top w:val="nil"/>
            </w:tcBorders>
          </w:tcPr>
          <w:p w:rsidR="004F47E1" w:rsidRPr="00024C90" w:rsidRDefault="004F47E1" w:rsidP="00982566">
            <w:pPr>
              <w:rPr>
                <w:b/>
                <w:sz w:val="20"/>
                <w:szCs w:val="20"/>
              </w:rPr>
            </w:pPr>
            <w:r>
              <w:rPr>
                <w:b/>
                <w:sz w:val="20"/>
                <w:szCs w:val="20"/>
              </w:rPr>
              <w:t>2015/2016</w:t>
            </w:r>
          </w:p>
        </w:tc>
        <w:tc>
          <w:tcPr>
            <w:tcW w:w="300" w:type="dxa"/>
            <w:tcBorders>
              <w:top w:val="single" w:sz="4" w:space="0" w:color="auto"/>
              <w:bottom w:val="single" w:sz="4" w:space="0" w:color="auto"/>
            </w:tcBorders>
            <w:shd w:val="clear" w:color="auto" w:fill="548DD4"/>
            <w:vAlign w:val="center"/>
          </w:tcPr>
          <w:p w:rsidR="004F47E1" w:rsidRPr="00E10B2A" w:rsidRDefault="004F47E1" w:rsidP="00F24058">
            <w:pPr>
              <w:ind w:left="-57"/>
              <w:rPr>
                <w:rFonts w:ascii="DejaVu Sans" w:hAnsi="DejaVu Sans" w:cs="DejaVu Sans"/>
                <w:b/>
              </w:rPr>
            </w:pPr>
            <w:r>
              <w:rPr>
                <w:b/>
              </w:rPr>
              <w:sym w:font="Monotype Sorts" w:char="F0DA"/>
            </w:r>
          </w:p>
        </w:tc>
      </w:tr>
      <w:tr w:rsidR="004F47E1" w:rsidRPr="00F839E4" w:rsidTr="00A8001A">
        <w:tc>
          <w:tcPr>
            <w:tcW w:w="5637" w:type="dxa"/>
            <w:tcBorders>
              <w:top w:val="nil"/>
            </w:tcBorders>
          </w:tcPr>
          <w:p w:rsidR="004F47E1" w:rsidRDefault="004F47E1" w:rsidP="00411C4C">
            <w:pPr>
              <w:pStyle w:val="Paragraphedeliste1"/>
              <w:numPr>
                <w:ilvl w:val="0"/>
                <w:numId w:val="21"/>
              </w:numPr>
              <w:ind w:left="709" w:hanging="300"/>
              <w:jc w:val="both"/>
            </w:pPr>
            <w:r>
              <w:t>Faire introduire par les écoles (EHESP, INTEFP, CREPS, IRA,…)  un module dans les formations statutaires</w:t>
            </w:r>
          </w:p>
        </w:tc>
        <w:tc>
          <w:tcPr>
            <w:tcW w:w="4064" w:type="dxa"/>
            <w:tcBorders>
              <w:top w:val="nil"/>
            </w:tcBorders>
          </w:tcPr>
          <w:p w:rsidR="00A374B5" w:rsidRDefault="004F47E1" w:rsidP="00982566">
            <w:pPr>
              <w:rPr>
                <w:b/>
                <w:sz w:val="20"/>
                <w:szCs w:val="20"/>
              </w:rPr>
            </w:pPr>
            <w:r>
              <w:rPr>
                <w:b/>
                <w:sz w:val="20"/>
                <w:szCs w:val="20"/>
              </w:rPr>
              <w:t>2016</w:t>
            </w:r>
          </w:p>
          <w:p w:rsidR="004F47E1" w:rsidRPr="00024C90" w:rsidRDefault="00A374B5" w:rsidP="00982566">
            <w:pPr>
              <w:rPr>
                <w:b/>
                <w:sz w:val="20"/>
                <w:szCs w:val="20"/>
              </w:rPr>
            </w:pPr>
            <w:r>
              <w:rPr>
                <w:sz w:val="20"/>
                <w:szCs w:val="20"/>
              </w:rPr>
              <w:t>E</w:t>
            </w:r>
            <w:r w:rsidR="004F47E1" w:rsidRPr="005034FC">
              <w:rPr>
                <w:sz w:val="20"/>
                <w:szCs w:val="20"/>
              </w:rPr>
              <w:t>n cours pour les IRA</w:t>
            </w:r>
          </w:p>
        </w:tc>
        <w:tc>
          <w:tcPr>
            <w:tcW w:w="300" w:type="dxa"/>
            <w:tcBorders>
              <w:top w:val="single" w:sz="4" w:space="0" w:color="auto"/>
              <w:bottom w:val="single" w:sz="4" w:space="0" w:color="auto"/>
            </w:tcBorders>
            <w:shd w:val="clear" w:color="auto" w:fill="548DD4"/>
            <w:vAlign w:val="center"/>
          </w:tcPr>
          <w:p w:rsidR="004F47E1" w:rsidRPr="00E10B2A" w:rsidRDefault="004F47E1" w:rsidP="00F24058">
            <w:pPr>
              <w:ind w:left="-57"/>
              <w:rPr>
                <w:rFonts w:ascii="DejaVu Sans" w:hAnsi="DejaVu Sans" w:cs="DejaVu Sans"/>
                <w:b/>
              </w:rPr>
            </w:pPr>
            <w:r>
              <w:rPr>
                <w:b/>
              </w:rPr>
              <w:sym w:font="Monotype Sorts" w:char="F0DA"/>
            </w:r>
          </w:p>
        </w:tc>
      </w:tr>
      <w:tr w:rsidR="004F47E1" w:rsidRPr="00F839E4" w:rsidTr="00200236">
        <w:tc>
          <w:tcPr>
            <w:tcW w:w="9701" w:type="dxa"/>
            <w:gridSpan w:val="2"/>
            <w:tcBorders>
              <w:bottom w:val="nil"/>
            </w:tcBorders>
          </w:tcPr>
          <w:p w:rsidR="004F47E1" w:rsidRPr="00024C90" w:rsidRDefault="004F47E1" w:rsidP="00411727">
            <w:pPr>
              <w:rPr>
                <w:sz w:val="20"/>
                <w:szCs w:val="20"/>
              </w:rPr>
            </w:pPr>
          </w:p>
          <w:p w:rsidR="004F47E1" w:rsidRPr="00024C90" w:rsidRDefault="004F47E1" w:rsidP="00B6745D">
            <w:pPr>
              <w:rPr>
                <w:b/>
                <w:sz w:val="20"/>
                <w:szCs w:val="20"/>
              </w:rPr>
            </w:pPr>
            <w:r w:rsidRPr="00024C90">
              <w:rPr>
                <w:b/>
                <w:sz w:val="20"/>
                <w:szCs w:val="20"/>
              </w:rPr>
              <w:t>Mesure 3.3 : Proposer des formations/sensibilisations à la gestion des situations de harcèlement moral, de harcèlement sexuel et de violence</w:t>
            </w:r>
          </w:p>
        </w:tc>
        <w:tc>
          <w:tcPr>
            <w:tcW w:w="300" w:type="dxa"/>
            <w:tcBorders>
              <w:bottom w:val="single" w:sz="4" w:space="0" w:color="auto"/>
            </w:tcBorders>
            <w:shd w:val="clear" w:color="auto" w:fill="auto"/>
            <w:vAlign w:val="center"/>
          </w:tcPr>
          <w:p w:rsidR="004F47E1" w:rsidRPr="00E10B2A" w:rsidRDefault="004F47E1" w:rsidP="00556FF7">
            <w:pPr>
              <w:ind w:left="-57"/>
              <w:rPr>
                <w:rFonts w:ascii="DejaVu Sans" w:hAnsi="DejaVu Sans" w:cs="DejaVu Sans"/>
                <w:b/>
              </w:rPr>
            </w:pPr>
          </w:p>
        </w:tc>
      </w:tr>
      <w:tr w:rsidR="004F47E1" w:rsidRPr="00F839E4" w:rsidTr="00A8001A">
        <w:tc>
          <w:tcPr>
            <w:tcW w:w="5637" w:type="dxa"/>
            <w:tcBorders>
              <w:bottom w:val="single" w:sz="4" w:space="0" w:color="auto"/>
            </w:tcBorders>
          </w:tcPr>
          <w:p w:rsidR="004F47E1" w:rsidRPr="00317ED3" w:rsidRDefault="004F47E1" w:rsidP="00F65F79">
            <w:pPr>
              <w:pStyle w:val="Paragraphedeliste1"/>
              <w:numPr>
                <w:ilvl w:val="0"/>
                <w:numId w:val="21"/>
              </w:numPr>
              <w:ind w:left="709" w:hanging="300"/>
              <w:jc w:val="both"/>
            </w:pPr>
            <w:r>
              <w:t xml:space="preserve">Intégrer deux modules de formation sur la gestion des situations de violences et de harcèlement moral et de harcèlement sexuel au catalogue de formation 2015 (deux sessions management et acteurs concernés, deux modules de sensibilisation pour tous les agents). </w:t>
            </w:r>
          </w:p>
        </w:tc>
        <w:tc>
          <w:tcPr>
            <w:tcW w:w="4064" w:type="dxa"/>
            <w:tcBorders>
              <w:bottom w:val="single" w:sz="4" w:space="0" w:color="auto"/>
            </w:tcBorders>
          </w:tcPr>
          <w:p w:rsidR="004F47E1" w:rsidRPr="00024C90" w:rsidRDefault="004F47E1" w:rsidP="00F839E4">
            <w:pPr>
              <w:pStyle w:val="Paragraphedeliste1"/>
              <w:ind w:left="43"/>
              <w:jc w:val="both"/>
              <w:rPr>
                <w:b/>
              </w:rPr>
            </w:pPr>
            <w:r w:rsidRPr="00024C90">
              <w:rPr>
                <w:b/>
              </w:rPr>
              <w:t>2015</w:t>
            </w:r>
          </w:p>
        </w:tc>
        <w:tc>
          <w:tcPr>
            <w:tcW w:w="300" w:type="dxa"/>
            <w:tcBorders>
              <w:bottom w:val="single" w:sz="4" w:space="0" w:color="auto"/>
            </w:tcBorders>
            <w:shd w:val="clear" w:color="auto" w:fill="FFFFCC"/>
            <w:vAlign w:val="center"/>
          </w:tcPr>
          <w:p w:rsidR="004F47E1" w:rsidRPr="00E10B2A" w:rsidRDefault="004F47E1" w:rsidP="00556FF7">
            <w:pPr>
              <w:ind w:left="-57"/>
              <w:rPr>
                <w:rFonts w:ascii="DejaVu Sans" w:hAnsi="DejaVu Sans" w:cs="DejaVu Sans"/>
                <w:b/>
              </w:rPr>
            </w:pPr>
            <w:r>
              <w:rPr>
                <w:b/>
              </w:rPr>
              <w:sym w:font="Monotype Sorts" w:char="F050"/>
            </w:r>
          </w:p>
        </w:tc>
      </w:tr>
      <w:tr w:rsidR="004F47E1" w:rsidRPr="00F839E4" w:rsidTr="00875C17">
        <w:tc>
          <w:tcPr>
            <w:tcW w:w="5637" w:type="dxa"/>
            <w:tcBorders>
              <w:bottom w:val="single" w:sz="4" w:space="0" w:color="auto"/>
            </w:tcBorders>
          </w:tcPr>
          <w:p w:rsidR="004F47E1" w:rsidRDefault="004F47E1" w:rsidP="00DE3DE2">
            <w:pPr>
              <w:pStyle w:val="Paragraphedeliste1"/>
              <w:numPr>
                <w:ilvl w:val="0"/>
                <w:numId w:val="21"/>
              </w:numPr>
              <w:ind w:left="709" w:hanging="300"/>
              <w:jc w:val="both"/>
            </w:pPr>
            <w:r>
              <w:t xml:space="preserve">Mettre en place un atelier « Faire face aux situations de harcèlement moral,  harcèlement sexuel et de violence » à destination des agents d’administration centrale </w:t>
            </w:r>
          </w:p>
        </w:tc>
        <w:tc>
          <w:tcPr>
            <w:tcW w:w="4064" w:type="dxa"/>
            <w:tcBorders>
              <w:bottom w:val="single" w:sz="4" w:space="0" w:color="auto"/>
            </w:tcBorders>
          </w:tcPr>
          <w:p w:rsidR="004F47E1" w:rsidRPr="00024C90" w:rsidRDefault="004F47E1" w:rsidP="00F839E4">
            <w:pPr>
              <w:pStyle w:val="Paragraphedeliste1"/>
              <w:ind w:left="43"/>
              <w:jc w:val="both"/>
              <w:rPr>
                <w:b/>
              </w:rPr>
            </w:pPr>
            <w:r w:rsidRPr="00024C90">
              <w:rPr>
                <w:b/>
              </w:rPr>
              <w:t>2015/2016</w:t>
            </w:r>
          </w:p>
        </w:tc>
        <w:tc>
          <w:tcPr>
            <w:tcW w:w="300" w:type="dxa"/>
            <w:tcBorders>
              <w:bottom w:val="single" w:sz="4" w:space="0" w:color="auto"/>
            </w:tcBorders>
            <w:shd w:val="clear" w:color="auto" w:fill="auto"/>
            <w:vAlign w:val="center"/>
          </w:tcPr>
          <w:p w:rsidR="004F47E1" w:rsidRPr="00E10B2A" w:rsidRDefault="004F47E1" w:rsidP="00556FF7">
            <w:pPr>
              <w:ind w:left="-57"/>
              <w:rPr>
                <w:rFonts w:ascii="DejaVu Sans" w:hAnsi="DejaVu Sans" w:cs="DejaVu Sans"/>
                <w:b/>
              </w:rPr>
            </w:pPr>
          </w:p>
        </w:tc>
      </w:tr>
      <w:tr w:rsidR="004F47E1" w:rsidRPr="00F839E4" w:rsidTr="00A8001A">
        <w:tc>
          <w:tcPr>
            <w:tcW w:w="5637" w:type="dxa"/>
            <w:tcBorders>
              <w:bottom w:val="single" w:sz="4" w:space="0" w:color="auto"/>
            </w:tcBorders>
          </w:tcPr>
          <w:p w:rsidR="004F47E1" w:rsidRPr="00B24088" w:rsidRDefault="004F47E1" w:rsidP="00FB01FA">
            <w:pPr>
              <w:pStyle w:val="Paragraphedeliste1"/>
              <w:numPr>
                <w:ilvl w:val="0"/>
                <w:numId w:val="21"/>
              </w:numPr>
              <w:ind w:left="709" w:hanging="300"/>
              <w:jc w:val="both"/>
            </w:pPr>
            <w:r>
              <w:t>Mettre en place des actions de formation spécifiques pour les professionnels (services sociaux, médecine de prévention, conseillers mobilité carrière…) à l’occasion de réunions du réseau des médecins de prévention, journées professionnelles du réseau national des assistants de service social…</w:t>
            </w:r>
          </w:p>
        </w:tc>
        <w:tc>
          <w:tcPr>
            <w:tcW w:w="4064" w:type="dxa"/>
            <w:tcBorders>
              <w:bottom w:val="single" w:sz="4" w:space="0" w:color="auto"/>
            </w:tcBorders>
          </w:tcPr>
          <w:p w:rsidR="004F47E1" w:rsidRPr="00024C90" w:rsidRDefault="004F47E1" w:rsidP="00F839E4">
            <w:pPr>
              <w:pStyle w:val="Paragraphedeliste1"/>
              <w:ind w:left="43"/>
              <w:jc w:val="both"/>
              <w:rPr>
                <w:b/>
              </w:rPr>
            </w:pPr>
            <w:r w:rsidRPr="00024C90">
              <w:rPr>
                <w:b/>
              </w:rPr>
              <w:t>2015</w:t>
            </w:r>
          </w:p>
        </w:tc>
        <w:tc>
          <w:tcPr>
            <w:tcW w:w="300" w:type="dxa"/>
            <w:tcBorders>
              <w:bottom w:val="single" w:sz="4" w:space="0" w:color="auto"/>
            </w:tcBorders>
            <w:shd w:val="clear" w:color="auto" w:fill="548DD4"/>
            <w:vAlign w:val="center"/>
          </w:tcPr>
          <w:p w:rsidR="004F47E1" w:rsidRPr="00E10B2A" w:rsidRDefault="004F47E1" w:rsidP="00556FF7">
            <w:pPr>
              <w:ind w:left="-57"/>
              <w:rPr>
                <w:rFonts w:ascii="DejaVu Sans" w:hAnsi="DejaVu Sans" w:cs="DejaVu Sans"/>
                <w:b/>
              </w:rPr>
            </w:pPr>
            <w:r>
              <w:rPr>
                <w:b/>
              </w:rPr>
              <w:sym w:font="Monotype Sorts" w:char="F0DA"/>
            </w:r>
          </w:p>
        </w:tc>
      </w:tr>
      <w:tr w:rsidR="004F47E1" w:rsidRPr="00F839E4" w:rsidTr="00200236">
        <w:tc>
          <w:tcPr>
            <w:tcW w:w="9701" w:type="dxa"/>
            <w:gridSpan w:val="2"/>
            <w:tcBorders>
              <w:bottom w:val="single" w:sz="4" w:space="0" w:color="auto"/>
            </w:tcBorders>
          </w:tcPr>
          <w:p w:rsidR="004F47E1" w:rsidRPr="00585CE2" w:rsidRDefault="004F47E1" w:rsidP="00AE52F4">
            <w:pPr>
              <w:rPr>
                <w:sz w:val="20"/>
                <w:szCs w:val="20"/>
              </w:rPr>
            </w:pPr>
          </w:p>
          <w:p w:rsidR="004F47E1" w:rsidRPr="00D71F10" w:rsidRDefault="004F47E1" w:rsidP="001C6391">
            <w:pPr>
              <w:rPr>
                <w:b/>
                <w:sz w:val="20"/>
                <w:szCs w:val="20"/>
              </w:rPr>
            </w:pPr>
            <w:r>
              <w:rPr>
                <w:b/>
                <w:sz w:val="20"/>
                <w:szCs w:val="20"/>
              </w:rPr>
              <w:t>Mesure 3.4</w:t>
            </w:r>
            <w:r w:rsidRPr="00927596">
              <w:rPr>
                <w:b/>
                <w:sz w:val="20"/>
                <w:szCs w:val="20"/>
              </w:rPr>
              <w:t xml:space="preserve"> : </w:t>
            </w:r>
            <w:r>
              <w:rPr>
                <w:b/>
                <w:sz w:val="20"/>
                <w:szCs w:val="20"/>
              </w:rPr>
              <w:t>Prendre en compte les signalements de</w:t>
            </w:r>
            <w:r w:rsidRPr="00927596">
              <w:rPr>
                <w:b/>
                <w:sz w:val="20"/>
                <w:szCs w:val="20"/>
              </w:rPr>
              <w:t xml:space="preserve"> la cellule d’écoute </w:t>
            </w:r>
            <w:r>
              <w:rPr>
                <w:b/>
                <w:sz w:val="20"/>
                <w:szCs w:val="20"/>
              </w:rPr>
              <w:t xml:space="preserve">(CEMCAS) </w:t>
            </w:r>
            <w:r w:rsidRPr="00927596">
              <w:rPr>
                <w:b/>
                <w:sz w:val="20"/>
                <w:szCs w:val="20"/>
              </w:rPr>
              <w:t xml:space="preserve">sur le champ du harcèlement </w:t>
            </w:r>
          </w:p>
        </w:tc>
        <w:tc>
          <w:tcPr>
            <w:tcW w:w="300" w:type="dxa"/>
            <w:tcBorders>
              <w:bottom w:val="single" w:sz="4" w:space="0" w:color="auto"/>
            </w:tcBorders>
            <w:shd w:val="clear" w:color="auto" w:fill="auto"/>
            <w:vAlign w:val="center"/>
          </w:tcPr>
          <w:p w:rsidR="004F47E1" w:rsidRPr="00E10B2A" w:rsidRDefault="004F47E1" w:rsidP="00556FF7">
            <w:pPr>
              <w:ind w:left="-57"/>
              <w:rPr>
                <w:rFonts w:ascii="DejaVu Sans" w:hAnsi="DejaVu Sans" w:cs="DejaVu Sans"/>
                <w:b/>
              </w:rPr>
            </w:pPr>
          </w:p>
        </w:tc>
      </w:tr>
      <w:tr w:rsidR="004F47E1" w:rsidRPr="00F839E4" w:rsidTr="00A8001A">
        <w:tc>
          <w:tcPr>
            <w:tcW w:w="5637" w:type="dxa"/>
            <w:tcBorders>
              <w:bottom w:val="single" w:sz="4" w:space="0" w:color="auto"/>
            </w:tcBorders>
          </w:tcPr>
          <w:p w:rsidR="004F47E1" w:rsidRDefault="004F47E1" w:rsidP="001C6391">
            <w:pPr>
              <w:pStyle w:val="Paragraphedeliste1"/>
              <w:numPr>
                <w:ilvl w:val="0"/>
                <w:numId w:val="21"/>
              </w:numPr>
              <w:ind w:left="709"/>
              <w:jc w:val="both"/>
            </w:pPr>
            <w:r>
              <w:t>S’engager à y répondre et se donner les moyens de mettre fin aux faits signalés.</w:t>
            </w:r>
          </w:p>
          <w:p w:rsidR="004F47E1" w:rsidRDefault="004F47E1" w:rsidP="00A24F91">
            <w:pPr>
              <w:pStyle w:val="Paragraphedeliste1"/>
              <w:ind w:left="43"/>
              <w:jc w:val="both"/>
            </w:pPr>
            <w:r>
              <w:t xml:space="preserve"> S’il s’agit de faits de harcèlement moral ou sexuel à caractère discriminatoire, la CEMCAS les traite comme toute autre discrimination. S’il s’agit de faits de harcèlement à caractère non discriminatoire, la cellule alerte la DRH.</w:t>
            </w:r>
          </w:p>
          <w:p w:rsidR="004F47E1" w:rsidRPr="00000CAA" w:rsidRDefault="004F47E1" w:rsidP="00A24F91">
            <w:pPr>
              <w:rPr>
                <w:sz w:val="16"/>
                <w:szCs w:val="16"/>
              </w:rPr>
            </w:pPr>
            <w:r w:rsidRPr="00000CAA">
              <w:rPr>
                <w:sz w:val="16"/>
                <w:szCs w:val="16"/>
              </w:rPr>
              <w:t>(un cas de discrimination fondé sur le sexe, deux cas de harcèlement moral non discriminatoire, un cas de harcèlement sexuel, zéro cas de harcèlement non discriminatoire signalés par la CEMCAS depuis son ouverture en juillet 2013)</w:t>
            </w:r>
          </w:p>
        </w:tc>
        <w:tc>
          <w:tcPr>
            <w:tcW w:w="4064" w:type="dxa"/>
            <w:tcBorders>
              <w:bottom w:val="single" w:sz="4" w:space="0" w:color="auto"/>
            </w:tcBorders>
          </w:tcPr>
          <w:p w:rsidR="004F47E1" w:rsidRPr="00024C90" w:rsidRDefault="004F47E1" w:rsidP="00F839E4">
            <w:pPr>
              <w:pStyle w:val="Paragraphedeliste1"/>
              <w:ind w:left="43"/>
              <w:jc w:val="both"/>
              <w:rPr>
                <w:b/>
              </w:rPr>
            </w:pPr>
            <w:r w:rsidRPr="00024C90">
              <w:rPr>
                <w:b/>
              </w:rPr>
              <w:t>2015</w:t>
            </w:r>
          </w:p>
        </w:tc>
        <w:tc>
          <w:tcPr>
            <w:tcW w:w="300" w:type="dxa"/>
            <w:tcBorders>
              <w:bottom w:val="single" w:sz="4" w:space="0" w:color="auto"/>
            </w:tcBorders>
            <w:shd w:val="clear" w:color="auto" w:fill="548DD4"/>
            <w:vAlign w:val="center"/>
          </w:tcPr>
          <w:p w:rsidR="004F47E1" w:rsidRPr="00E10B2A" w:rsidRDefault="004F47E1" w:rsidP="00556FF7">
            <w:pPr>
              <w:ind w:left="-57"/>
              <w:rPr>
                <w:rFonts w:ascii="DejaVu Sans" w:hAnsi="DejaVu Sans" w:cs="DejaVu Sans"/>
                <w:b/>
              </w:rPr>
            </w:pPr>
            <w:r>
              <w:rPr>
                <w:b/>
              </w:rPr>
              <w:sym w:font="Monotype Sorts" w:char="F0DA"/>
            </w:r>
          </w:p>
        </w:tc>
      </w:tr>
      <w:tr w:rsidR="004F47E1" w:rsidRPr="00F839E4" w:rsidTr="00E346AE">
        <w:tc>
          <w:tcPr>
            <w:tcW w:w="9701" w:type="dxa"/>
            <w:gridSpan w:val="2"/>
            <w:tcBorders>
              <w:bottom w:val="single" w:sz="4" w:space="0" w:color="auto"/>
            </w:tcBorders>
          </w:tcPr>
          <w:p w:rsidR="004F47E1" w:rsidRPr="00585CE2" w:rsidRDefault="004F47E1" w:rsidP="00AE52F4">
            <w:pPr>
              <w:rPr>
                <w:sz w:val="20"/>
                <w:szCs w:val="20"/>
              </w:rPr>
            </w:pPr>
          </w:p>
          <w:p w:rsidR="004F47E1" w:rsidRPr="00D71F10" w:rsidRDefault="004F47E1" w:rsidP="00D95122">
            <w:pPr>
              <w:rPr>
                <w:b/>
                <w:sz w:val="20"/>
                <w:szCs w:val="20"/>
              </w:rPr>
            </w:pPr>
            <w:r>
              <w:rPr>
                <w:b/>
                <w:sz w:val="20"/>
                <w:szCs w:val="20"/>
              </w:rPr>
              <w:t>Mesure 3.5</w:t>
            </w:r>
            <w:r w:rsidRPr="00927596">
              <w:rPr>
                <w:b/>
                <w:sz w:val="20"/>
                <w:szCs w:val="20"/>
              </w:rPr>
              <w:t xml:space="preserve"> : Mettre en place des </w:t>
            </w:r>
            <w:r>
              <w:rPr>
                <w:b/>
                <w:sz w:val="20"/>
                <w:szCs w:val="20"/>
              </w:rPr>
              <w:t xml:space="preserve">actions de communication sur le harcèlement moral, le harcèlement sexuel et les </w:t>
            </w:r>
            <w:r w:rsidRPr="00927596">
              <w:rPr>
                <w:b/>
                <w:sz w:val="20"/>
                <w:szCs w:val="20"/>
              </w:rPr>
              <w:t>violences</w:t>
            </w:r>
          </w:p>
        </w:tc>
        <w:tc>
          <w:tcPr>
            <w:tcW w:w="300" w:type="dxa"/>
            <w:tcBorders>
              <w:top w:val="single" w:sz="4" w:space="0" w:color="auto"/>
              <w:bottom w:val="single" w:sz="4" w:space="0" w:color="auto"/>
            </w:tcBorders>
            <w:shd w:val="clear" w:color="auto" w:fill="auto"/>
            <w:vAlign w:val="center"/>
          </w:tcPr>
          <w:p w:rsidR="004F47E1" w:rsidRPr="00E10B2A" w:rsidRDefault="004F47E1" w:rsidP="00577575">
            <w:pPr>
              <w:ind w:left="-57"/>
              <w:rPr>
                <w:rFonts w:ascii="DejaVu Sans" w:hAnsi="DejaVu Sans" w:cs="DejaVu Sans"/>
                <w:b/>
              </w:rPr>
            </w:pPr>
          </w:p>
        </w:tc>
      </w:tr>
      <w:tr w:rsidR="004F47E1" w:rsidRPr="00F839E4" w:rsidTr="00DC65EC">
        <w:tc>
          <w:tcPr>
            <w:tcW w:w="5637" w:type="dxa"/>
            <w:tcBorders>
              <w:top w:val="single" w:sz="4" w:space="0" w:color="auto"/>
              <w:bottom w:val="single" w:sz="4" w:space="0" w:color="auto"/>
            </w:tcBorders>
          </w:tcPr>
          <w:p w:rsidR="004F47E1" w:rsidRDefault="004F47E1" w:rsidP="001D7E45">
            <w:pPr>
              <w:pStyle w:val="Paragraphedeliste1"/>
              <w:numPr>
                <w:ilvl w:val="0"/>
                <w:numId w:val="21"/>
              </w:numPr>
              <w:ind w:left="709"/>
              <w:jc w:val="both"/>
            </w:pPr>
            <w:r>
              <w:t xml:space="preserve">Renforcer la prévention des faits de harcèlement, notamment sexuel, par l’information des risques disciplinaires encourus notamment par l’élaboration d’un guide </w:t>
            </w:r>
          </w:p>
          <w:p w:rsidR="004F47E1" w:rsidRPr="00927596" w:rsidRDefault="004F47E1" w:rsidP="001D7E45">
            <w:pPr>
              <w:pStyle w:val="Paragraphedeliste1"/>
              <w:numPr>
                <w:ilvl w:val="0"/>
                <w:numId w:val="21"/>
              </w:numPr>
              <w:ind w:left="709"/>
              <w:jc w:val="both"/>
            </w:pPr>
            <w:r>
              <w:t>Rendre transparentes les sanctions disciplinaires qui ont été prises</w:t>
            </w:r>
          </w:p>
        </w:tc>
        <w:tc>
          <w:tcPr>
            <w:tcW w:w="4064" w:type="dxa"/>
            <w:tcBorders>
              <w:top w:val="single" w:sz="4" w:space="0" w:color="auto"/>
              <w:bottom w:val="single" w:sz="4" w:space="0" w:color="auto"/>
            </w:tcBorders>
          </w:tcPr>
          <w:p w:rsidR="004F47E1" w:rsidRPr="00024C90" w:rsidRDefault="004F47E1" w:rsidP="00542533">
            <w:pPr>
              <w:pStyle w:val="Paragraphedeliste1"/>
              <w:ind w:left="0"/>
              <w:jc w:val="both"/>
              <w:rPr>
                <w:b/>
              </w:rPr>
            </w:pPr>
            <w:r w:rsidRPr="00024C90">
              <w:rPr>
                <w:b/>
              </w:rPr>
              <w:t>2015</w:t>
            </w:r>
          </w:p>
        </w:tc>
        <w:tc>
          <w:tcPr>
            <w:tcW w:w="300" w:type="dxa"/>
            <w:tcBorders>
              <w:bottom w:val="single" w:sz="4" w:space="0" w:color="auto"/>
            </w:tcBorders>
            <w:shd w:val="clear" w:color="auto" w:fill="auto"/>
            <w:vAlign w:val="center"/>
          </w:tcPr>
          <w:p w:rsidR="004F47E1" w:rsidRPr="00E10B2A" w:rsidRDefault="004F47E1" w:rsidP="00556FF7">
            <w:pPr>
              <w:ind w:left="-57"/>
              <w:rPr>
                <w:rFonts w:ascii="DejaVu Sans" w:hAnsi="DejaVu Sans" w:cs="DejaVu Sans"/>
                <w:b/>
              </w:rPr>
            </w:pPr>
          </w:p>
        </w:tc>
      </w:tr>
      <w:tr w:rsidR="004F47E1" w:rsidRPr="00F839E4" w:rsidTr="00A8001A">
        <w:tc>
          <w:tcPr>
            <w:tcW w:w="5637" w:type="dxa"/>
            <w:tcBorders>
              <w:top w:val="nil"/>
              <w:bottom w:val="single" w:sz="4" w:space="0" w:color="auto"/>
            </w:tcBorders>
          </w:tcPr>
          <w:p w:rsidR="004F47E1" w:rsidRPr="00927596" w:rsidRDefault="004F47E1" w:rsidP="001D7E45">
            <w:pPr>
              <w:pStyle w:val="Paragraphedeliste1"/>
              <w:numPr>
                <w:ilvl w:val="0"/>
                <w:numId w:val="21"/>
              </w:numPr>
              <w:ind w:left="709"/>
              <w:jc w:val="both"/>
            </w:pPr>
            <w:r>
              <w:t xml:space="preserve">Sensibiliser les agents dès la prise de poste par le biais du livret d’accueil en rappelant les règles de comportement auxquelles sont tenus tous les agents, notamment ceux en situation d’encadrement et en informant les agents potentiellement victimes de harcèlement ou violences, de leurs droits et des initiatives à prendre pour préserver ces droits. </w:t>
            </w:r>
          </w:p>
        </w:tc>
        <w:tc>
          <w:tcPr>
            <w:tcW w:w="4064" w:type="dxa"/>
            <w:tcBorders>
              <w:top w:val="nil"/>
              <w:bottom w:val="single" w:sz="4" w:space="0" w:color="auto"/>
            </w:tcBorders>
          </w:tcPr>
          <w:p w:rsidR="004F47E1" w:rsidRPr="00024C90" w:rsidRDefault="004F47E1" w:rsidP="00542533">
            <w:pPr>
              <w:pStyle w:val="Paragraphedeliste1"/>
              <w:ind w:left="0"/>
              <w:jc w:val="both"/>
              <w:rPr>
                <w:b/>
              </w:rPr>
            </w:pPr>
            <w:r w:rsidRPr="00024C90">
              <w:rPr>
                <w:b/>
              </w:rPr>
              <w:t>2015</w:t>
            </w:r>
          </w:p>
        </w:tc>
        <w:tc>
          <w:tcPr>
            <w:tcW w:w="300" w:type="dxa"/>
            <w:tcBorders>
              <w:bottom w:val="single" w:sz="4" w:space="0" w:color="auto"/>
            </w:tcBorders>
            <w:shd w:val="clear" w:color="auto" w:fill="548DD4"/>
            <w:vAlign w:val="center"/>
          </w:tcPr>
          <w:p w:rsidR="004F47E1" w:rsidRPr="00E10B2A" w:rsidRDefault="004F47E1" w:rsidP="00556FF7">
            <w:pPr>
              <w:ind w:left="-57"/>
              <w:rPr>
                <w:rFonts w:ascii="DejaVu Sans" w:hAnsi="DejaVu Sans" w:cs="DejaVu Sans"/>
                <w:b/>
              </w:rPr>
            </w:pPr>
            <w:r>
              <w:rPr>
                <w:b/>
              </w:rPr>
              <w:sym w:font="Monotype Sorts" w:char="F0DA"/>
            </w:r>
          </w:p>
        </w:tc>
      </w:tr>
      <w:tr w:rsidR="004F47E1" w:rsidRPr="00F839E4" w:rsidTr="00A8001A">
        <w:tc>
          <w:tcPr>
            <w:tcW w:w="5637" w:type="dxa"/>
            <w:tcBorders>
              <w:top w:val="nil"/>
              <w:bottom w:val="single" w:sz="4" w:space="0" w:color="auto"/>
            </w:tcBorders>
          </w:tcPr>
          <w:p w:rsidR="004F47E1" w:rsidRPr="00927596" w:rsidRDefault="004F47E1" w:rsidP="001D7E45">
            <w:pPr>
              <w:pStyle w:val="Paragraphedeliste1"/>
              <w:numPr>
                <w:ilvl w:val="0"/>
                <w:numId w:val="40"/>
              </w:numPr>
              <w:jc w:val="both"/>
            </w:pPr>
            <w:r>
              <w:t>Développer la diffusion de supports, plaquettes, l’affichage et la diffusion sur les murs d’écrans vidéo, la mise en ligne sur l’intranet ministériel de tous messages, images, clips, de nature à sensibiliser les agents sur les questions de harcèlement moral, de harcèlement sexuel et les violences.</w:t>
            </w:r>
          </w:p>
        </w:tc>
        <w:tc>
          <w:tcPr>
            <w:tcW w:w="4064" w:type="dxa"/>
            <w:tcBorders>
              <w:top w:val="nil"/>
              <w:bottom w:val="single" w:sz="4" w:space="0" w:color="auto"/>
            </w:tcBorders>
          </w:tcPr>
          <w:p w:rsidR="00371425" w:rsidRPr="00024C90" w:rsidRDefault="004F47E1" w:rsidP="00542533">
            <w:pPr>
              <w:pStyle w:val="Paragraphedeliste1"/>
              <w:ind w:left="0"/>
              <w:jc w:val="both"/>
              <w:rPr>
                <w:b/>
              </w:rPr>
            </w:pPr>
            <w:r w:rsidRPr="00024C90">
              <w:rPr>
                <w:b/>
              </w:rPr>
              <w:t>2015</w:t>
            </w:r>
          </w:p>
        </w:tc>
        <w:tc>
          <w:tcPr>
            <w:tcW w:w="300" w:type="dxa"/>
            <w:tcBorders>
              <w:bottom w:val="single" w:sz="4" w:space="0" w:color="auto"/>
            </w:tcBorders>
            <w:shd w:val="clear" w:color="auto" w:fill="548DD4"/>
            <w:vAlign w:val="center"/>
          </w:tcPr>
          <w:p w:rsidR="004F47E1" w:rsidRPr="00E10B2A" w:rsidRDefault="004F47E1" w:rsidP="00A8001A">
            <w:pPr>
              <w:ind w:left="-57"/>
              <w:rPr>
                <w:rFonts w:ascii="DejaVu Sans" w:hAnsi="DejaVu Sans" w:cs="DejaVu Sans"/>
                <w:b/>
              </w:rPr>
            </w:pPr>
            <w:r>
              <w:rPr>
                <w:b/>
              </w:rPr>
              <w:sym w:font="Monotype Sorts" w:char="F0DA"/>
            </w:r>
          </w:p>
        </w:tc>
      </w:tr>
      <w:tr w:rsidR="004F47E1" w:rsidRPr="00F839E4" w:rsidTr="00A8001A">
        <w:tc>
          <w:tcPr>
            <w:tcW w:w="5637" w:type="dxa"/>
            <w:tcBorders>
              <w:top w:val="nil"/>
              <w:bottom w:val="single" w:sz="4" w:space="0" w:color="auto"/>
            </w:tcBorders>
          </w:tcPr>
          <w:p w:rsidR="004F47E1" w:rsidRPr="00927596" w:rsidRDefault="004F47E1" w:rsidP="001D7E45">
            <w:pPr>
              <w:numPr>
                <w:ilvl w:val="0"/>
                <w:numId w:val="40"/>
              </w:numPr>
              <w:rPr>
                <w:sz w:val="20"/>
                <w:szCs w:val="20"/>
                <w:u w:val="single"/>
              </w:rPr>
            </w:pPr>
            <w:r w:rsidRPr="00927596">
              <w:rPr>
                <w:sz w:val="20"/>
                <w:szCs w:val="20"/>
              </w:rPr>
              <w:t>S’assurer que les membres de l’équipe du service de médecine de prévention intègrent ces questions dans leur relat</w:t>
            </w:r>
            <w:r>
              <w:rPr>
                <w:sz w:val="20"/>
                <w:szCs w:val="20"/>
              </w:rPr>
              <w:t xml:space="preserve">ion avec les patients. Le </w:t>
            </w:r>
            <w:r w:rsidRPr="00927596">
              <w:rPr>
                <w:sz w:val="20"/>
                <w:szCs w:val="20"/>
              </w:rPr>
              <w:t>médecin coordonnateur diffusera les messages appropriés à l’ensemble du réseau national</w:t>
            </w:r>
          </w:p>
        </w:tc>
        <w:tc>
          <w:tcPr>
            <w:tcW w:w="4064" w:type="dxa"/>
            <w:tcBorders>
              <w:top w:val="nil"/>
              <w:bottom w:val="single" w:sz="4" w:space="0" w:color="auto"/>
            </w:tcBorders>
          </w:tcPr>
          <w:p w:rsidR="004F47E1" w:rsidRPr="00024C90" w:rsidRDefault="004F47E1" w:rsidP="00542533">
            <w:pPr>
              <w:pStyle w:val="Paragraphedeliste1"/>
              <w:ind w:left="0"/>
              <w:jc w:val="both"/>
              <w:rPr>
                <w:b/>
              </w:rPr>
            </w:pPr>
            <w:r w:rsidRPr="00024C90">
              <w:rPr>
                <w:b/>
              </w:rPr>
              <w:t>2015</w:t>
            </w:r>
          </w:p>
        </w:tc>
        <w:tc>
          <w:tcPr>
            <w:tcW w:w="300" w:type="dxa"/>
            <w:tcBorders>
              <w:bottom w:val="single" w:sz="4" w:space="0" w:color="auto"/>
            </w:tcBorders>
            <w:shd w:val="clear" w:color="auto" w:fill="548DD4"/>
            <w:vAlign w:val="center"/>
          </w:tcPr>
          <w:p w:rsidR="004F47E1" w:rsidRPr="00E10B2A" w:rsidRDefault="004F47E1" w:rsidP="00440C8C">
            <w:pPr>
              <w:ind w:left="-57"/>
              <w:rPr>
                <w:rFonts w:ascii="DejaVu Sans" w:hAnsi="DejaVu Sans" w:cs="DejaVu Sans"/>
                <w:b/>
              </w:rPr>
            </w:pPr>
            <w:r>
              <w:rPr>
                <w:b/>
              </w:rPr>
              <w:sym w:font="Monotype Sorts" w:char="F0DA"/>
            </w:r>
          </w:p>
        </w:tc>
      </w:tr>
      <w:tr w:rsidR="004F47E1" w:rsidRPr="00F839E4" w:rsidTr="00687A9D">
        <w:tc>
          <w:tcPr>
            <w:tcW w:w="5637" w:type="dxa"/>
            <w:tcBorders>
              <w:left w:val="nil"/>
              <w:bottom w:val="single" w:sz="24" w:space="0" w:color="800000"/>
              <w:right w:val="nil"/>
            </w:tcBorders>
          </w:tcPr>
          <w:p w:rsidR="004F47E1" w:rsidRDefault="004F47E1" w:rsidP="00AE52F4">
            <w:pPr>
              <w:rPr>
                <w:b/>
                <w:sz w:val="18"/>
                <w:szCs w:val="18"/>
              </w:rPr>
            </w:pPr>
          </w:p>
        </w:tc>
        <w:tc>
          <w:tcPr>
            <w:tcW w:w="4064" w:type="dxa"/>
            <w:tcBorders>
              <w:left w:val="nil"/>
              <w:bottom w:val="single" w:sz="24" w:space="0" w:color="800000"/>
              <w:right w:val="nil"/>
            </w:tcBorders>
          </w:tcPr>
          <w:p w:rsidR="004F47E1" w:rsidRPr="00237D05" w:rsidRDefault="004F47E1" w:rsidP="00AE52F4">
            <w:pPr>
              <w:rPr>
                <w:b/>
                <w:sz w:val="18"/>
                <w:szCs w:val="18"/>
              </w:rPr>
            </w:pPr>
          </w:p>
        </w:tc>
        <w:tc>
          <w:tcPr>
            <w:tcW w:w="300" w:type="dxa"/>
            <w:tcBorders>
              <w:bottom w:val="single" w:sz="4" w:space="0" w:color="auto"/>
            </w:tcBorders>
            <w:shd w:val="clear" w:color="auto" w:fill="auto"/>
            <w:vAlign w:val="center"/>
          </w:tcPr>
          <w:p w:rsidR="004F47E1" w:rsidRPr="00E10B2A" w:rsidRDefault="004F47E1" w:rsidP="00556FF7">
            <w:pPr>
              <w:ind w:left="-57"/>
              <w:rPr>
                <w:rFonts w:ascii="DejaVu Sans" w:hAnsi="DejaVu Sans" w:cs="DejaVu Sans"/>
                <w:b/>
              </w:rPr>
            </w:pPr>
          </w:p>
        </w:tc>
      </w:tr>
      <w:tr w:rsidR="004F47E1" w:rsidRPr="00F839E4" w:rsidTr="00AB4568">
        <w:tc>
          <w:tcPr>
            <w:tcW w:w="5637" w:type="dxa"/>
            <w:tcBorders>
              <w:top w:val="single" w:sz="24" w:space="0" w:color="800000"/>
              <w:left w:val="nil"/>
              <w:right w:val="nil"/>
            </w:tcBorders>
          </w:tcPr>
          <w:p w:rsidR="004F47E1" w:rsidRDefault="004F47E1" w:rsidP="00AE52F4">
            <w:pPr>
              <w:rPr>
                <w:b/>
                <w:sz w:val="18"/>
                <w:szCs w:val="18"/>
              </w:rPr>
            </w:pPr>
          </w:p>
          <w:p w:rsidR="004F47E1" w:rsidRDefault="004F47E1" w:rsidP="00AE52F4">
            <w:pPr>
              <w:rPr>
                <w:b/>
                <w:sz w:val="18"/>
                <w:szCs w:val="18"/>
              </w:rPr>
            </w:pPr>
          </w:p>
          <w:p w:rsidR="004F47E1" w:rsidRDefault="004F47E1" w:rsidP="00AE52F4">
            <w:pPr>
              <w:rPr>
                <w:b/>
                <w:sz w:val="18"/>
                <w:szCs w:val="18"/>
              </w:rPr>
            </w:pPr>
          </w:p>
          <w:p w:rsidR="004F47E1" w:rsidRDefault="001D6475" w:rsidP="00AE52F4">
            <w:pPr>
              <w:rPr>
                <w:b/>
                <w:sz w:val="18"/>
                <w:szCs w:val="18"/>
              </w:rPr>
            </w:pPr>
            <w:r>
              <w:rPr>
                <w:b/>
                <w:noProof/>
                <w:sz w:val="18"/>
                <w:szCs w:val="18"/>
                <w:lang w:eastAsia="fr-FR"/>
              </w:rPr>
              <w:drawing>
                <wp:inline distT="0" distB="0" distL="0" distR="0">
                  <wp:extent cx="1076325" cy="866775"/>
                  <wp:effectExtent l="19050" t="0" r="9525" b="0"/>
                  <wp:docPr id="5" name="Image 5" descr="MC9002899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289941[1]"/>
                          <pic:cNvPicPr>
                            <a:picLocks noChangeAspect="1" noChangeArrowheads="1"/>
                          </pic:cNvPicPr>
                        </pic:nvPicPr>
                        <pic:blipFill>
                          <a:blip r:embed="rId11" cstate="print"/>
                          <a:srcRect/>
                          <a:stretch>
                            <a:fillRect/>
                          </a:stretch>
                        </pic:blipFill>
                        <pic:spPr bwMode="auto">
                          <a:xfrm>
                            <a:off x="0" y="0"/>
                            <a:ext cx="1076325" cy="866775"/>
                          </a:xfrm>
                          <a:prstGeom prst="rect">
                            <a:avLst/>
                          </a:prstGeom>
                          <a:noFill/>
                          <a:ln w="9525">
                            <a:noFill/>
                            <a:miter lim="800000"/>
                            <a:headEnd/>
                            <a:tailEnd/>
                          </a:ln>
                        </pic:spPr>
                      </pic:pic>
                    </a:graphicData>
                  </a:graphic>
                </wp:inline>
              </w:drawing>
            </w:r>
          </w:p>
          <w:p w:rsidR="004F47E1" w:rsidRPr="00982566" w:rsidRDefault="004F47E1" w:rsidP="00AE52F4">
            <w:pPr>
              <w:rPr>
                <w:b/>
                <w:sz w:val="20"/>
                <w:szCs w:val="20"/>
              </w:rPr>
            </w:pPr>
          </w:p>
        </w:tc>
        <w:tc>
          <w:tcPr>
            <w:tcW w:w="4064" w:type="dxa"/>
            <w:tcBorders>
              <w:top w:val="single" w:sz="24" w:space="0" w:color="800000"/>
              <w:left w:val="nil"/>
              <w:right w:val="nil"/>
            </w:tcBorders>
            <w:vAlign w:val="center"/>
          </w:tcPr>
          <w:p w:rsidR="004F47E1" w:rsidRDefault="004F47E1" w:rsidP="00382F40">
            <w:pPr>
              <w:ind w:left="1943"/>
              <w:jc w:val="right"/>
              <w:rPr>
                <w:rFonts w:ascii="Arial" w:hAnsi="Arial" w:cs="Arial"/>
                <w:b/>
                <w:sz w:val="22"/>
                <w:szCs w:val="22"/>
              </w:rPr>
            </w:pPr>
          </w:p>
          <w:p w:rsidR="004F47E1" w:rsidRPr="006F30E9" w:rsidRDefault="004F47E1" w:rsidP="00B36EA5">
            <w:pPr>
              <w:ind w:left="1943"/>
              <w:jc w:val="right"/>
              <w:rPr>
                <w:rFonts w:ascii="Arial" w:hAnsi="Arial" w:cs="Arial"/>
                <w:b/>
                <w:sz w:val="22"/>
                <w:szCs w:val="22"/>
              </w:rPr>
            </w:pPr>
            <w:r w:rsidRPr="006F30E9">
              <w:rPr>
                <w:rFonts w:ascii="Arial" w:hAnsi="Arial" w:cs="Arial"/>
                <w:b/>
                <w:sz w:val="22"/>
                <w:szCs w:val="22"/>
              </w:rPr>
              <w:t>Thème IV – Mesures spécifiques  aux opérations de recrutement</w:t>
            </w:r>
          </w:p>
        </w:tc>
        <w:tc>
          <w:tcPr>
            <w:tcW w:w="300" w:type="dxa"/>
            <w:tcBorders>
              <w:bottom w:val="single" w:sz="4" w:space="0" w:color="auto"/>
            </w:tcBorders>
            <w:shd w:val="clear" w:color="auto" w:fill="auto"/>
            <w:vAlign w:val="center"/>
          </w:tcPr>
          <w:p w:rsidR="004F47E1" w:rsidRPr="00E10B2A" w:rsidRDefault="004F47E1" w:rsidP="00556FF7">
            <w:pPr>
              <w:ind w:left="-57"/>
              <w:rPr>
                <w:rFonts w:ascii="DejaVu Sans" w:hAnsi="DejaVu Sans" w:cs="DejaVu Sans"/>
                <w:b/>
              </w:rPr>
            </w:pPr>
          </w:p>
        </w:tc>
      </w:tr>
      <w:tr w:rsidR="004F47E1" w:rsidRPr="00F839E4" w:rsidTr="00440C8C">
        <w:trPr>
          <w:trHeight w:val="690"/>
        </w:trPr>
        <w:tc>
          <w:tcPr>
            <w:tcW w:w="9701" w:type="dxa"/>
            <w:gridSpan w:val="2"/>
          </w:tcPr>
          <w:p w:rsidR="004F47E1" w:rsidRDefault="004F47E1" w:rsidP="00AE52F4">
            <w:pPr>
              <w:rPr>
                <w:sz w:val="20"/>
                <w:szCs w:val="20"/>
              </w:rPr>
            </w:pPr>
          </w:p>
          <w:p w:rsidR="004F47E1" w:rsidRPr="00D71F10" w:rsidRDefault="004F47E1" w:rsidP="00927596">
            <w:pPr>
              <w:rPr>
                <w:b/>
                <w:sz w:val="20"/>
                <w:szCs w:val="20"/>
              </w:rPr>
            </w:pPr>
            <w:r w:rsidRPr="00927596">
              <w:rPr>
                <w:b/>
                <w:sz w:val="20"/>
                <w:szCs w:val="20"/>
              </w:rPr>
              <w:t>Mesure 4.1 : Tendre à une composition paritaire des jurys de concours et examens et des membres des commissions de sélection</w:t>
            </w:r>
          </w:p>
        </w:tc>
        <w:tc>
          <w:tcPr>
            <w:tcW w:w="300" w:type="dxa"/>
            <w:shd w:val="clear" w:color="auto" w:fill="auto"/>
            <w:vAlign w:val="center"/>
          </w:tcPr>
          <w:p w:rsidR="004F47E1" w:rsidRPr="00E10B2A" w:rsidRDefault="004F47E1" w:rsidP="00556FF7">
            <w:pPr>
              <w:ind w:left="-57"/>
              <w:rPr>
                <w:rFonts w:ascii="DejaVu Sans" w:hAnsi="DejaVu Sans" w:cs="DejaVu Sans"/>
                <w:b/>
              </w:rPr>
            </w:pPr>
          </w:p>
        </w:tc>
      </w:tr>
      <w:tr w:rsidR="004F47E1" w:rsidRPr="00F839E4" w:rsidTr="00AB4568">
        <w:tc>
          <w:tcPr>
            <w:tcW w:w="5637" w:type="dxa"/>
            <w:tcBorders>
              <w:top w:val="nil"/>
            </w:tcBorders>
          </w:tcPr>
          <w:p w:rsidR="004F47E1" w:rsidRPr="00FC043D" w:rsidRDefault="004F47E1" w:rsidP="001D7E45">
            <w:pPr>
              <w:numPr>
                <w:ilvl w:val="0"/>
                <w:numId w:val="40"/>
              </w:numPr>
              <w:rPr>
                <w:i/>
                <w:sz w:val="20"/>
                <w:szCs w:val="20"/>
              </w:rPr>
            </w:pPr>
            <w:r w:rsidRPr="00FC043D">
              <w:rPr>
                <w:i/>
                <w:sz w:val="20"/>
                <w:szCs w:val="20"/>
              </w:rPr>
              <w:t>Rester vigilant sur la participation équilibrée des hommes et des femmes et sur la répartition des présidences de jurys et commissions de sélection</w:t>
            </w:r>
          </w:p>
        </w:tc>
        <w:tc>
          <w:tcPr>
            <w:tcW w:w="4064" w:type="dxa"/>
            <w:tcBorders>
              <w:top w:val="nil"/>
            </w:tcBorders>
          </w:tcPr>
          <w:p w:rsidR="004F47E1" w:rsidRDefault="004F47E1" w:rsidP="002A3EE5">
            <w:pPr>
              <w:jc w:val="both"/>
              <w:rPr>
                <w:sz w:val="20"/>
                <w:szCs w:val="20"/>
              </w:rPr>
            </w:pPr>
            <w:r>
              <w:rPr>
                <w:sz w:val="20"/>
                <w:szCs w:val="20"/>
              </w:rPr>
              <w:t>Au 31/12/2013 :</w:t>
            </w:r>
          </w:p>
          <w:p w:rsidR="004F47E1" w:rsidRPr="00D91A4E" w:rsidRDefault="004F47E1" w:rsidP="002A3EE5">
            <w:pPr>
              <w:jc w:val="both"/>
              <w:rPr>
                <w:sz w:val="20"/>
                <w:szCs w:val="20"/>
              </w:rPr>
            </w:pPr>
            <w:r w:rsidRPr="00D91A4E">
              <w:rPr>
                <w:sz w:val="20"/>
                <w:szCs w:val="20"/>
              </w:rPr>
              <w:t>Secteur santé/affaires sociales/sports</w:t>
            </w:r>
          </w:p>
          <w:p w:rsidR="004F47E1" w:rsidRPr="00D91A4E" w:rsidRDefault="004F47E1" w:rsidP="002A3EE5">
            <w:pPr>
              <w:numPr>
                <w:ilvl w:val="0"/>
                <w:numId w:val="45"/>
              </w:numPr>
              <w:jc w:val="both"/>
              <w:rPr>
                <w:sz w:val="20"/>
                <w:szCs w:val="20"/>
              </w:rPr>
            </w:pPr>
            <w:r w:rsidRPr="00D91A4E">
              <w:rPr>
                <w:bCs/>
                <w:sz w:val="20"/>
                <w:szCs w:val="20"/>
              </w:rPr>
              <w:t xml:space="preserve">Membre de Jurys : 43 % </w:t>
            </w:r>
          </w:p>
          <w:p w:rsidR="004F47E1" w:rsidRPr="00D91A4E" w:rsidRDefault="004F47E1" w:rsidP="002A3EE5">
            <w:pPr>
              <w:numPr>
                <w:ilvl w:val="0"/>
                <w:numId w:val="45"/>
              </w:numPr>
              <w:jc w:val="both"/>
              <w:rPr>
                <w:sz w:val="20"/>
                <w:szCs w:val="20"/>
              </w:rPr>
            </w:pPr>
            <w:r w:rsidRPr="00D91A4E">
              <w:rPr>
                <w:bCs/>
                <w:sz w:val="20"/>
                <w:szCs w:val="20"/>
              </w:rPr>
              <w:t xml:space="preserve"> Présidence de jurys : 37 %</w:t>
            </w:r>
          </w:p>
          <w:p w:rsidR="004F47E1" w:rsidRPr="00D91A4E" w:rsidRDefault="004F47E1" w:rsidP="002A3EE5">
            <w:pPr>
              <w:jc w:val="both"/>
              <w:rPr>
                <w:sz w:val="20"/>
                <w:szCs w:val="20"/>
              </w:rPr>
            </w:pPr>
            <w:r w:rsidRPr="00D91A4E">
              <w:rPr>
                <w:sz w:val="20"/>
                <w:szCs w:val="20"/>
              </w:rPr>
              <w:t>Secteur travail/emploi</w:t>
            </w:r>
          </w:p>
          <w:p w:rsidR="004F47E1" w:rsidRPr="00D91A4E" w:rsidRDefault="004F47E1" w:rsidP="002A3EE5">
            <w:pPr>
              <w:numPr>
                <w:ilvl w:val="0"/>
                <w:numId w:val="46"/>
              </w:numPr>
              <w:jc w:val="both"/>
              <w:rPr>
                <w:sz w:val="20"/>
                <w:szCs w:val="20"/>
              </w:rPr>
            </w:pPr>
            <w:r w:rsidRPr="00D91A4E">
              <w:rPr>
                <w:bCs/>
                <w:sz w:val="20"/>
                <w:szCs w:val="20"/>
              </w:rPr>
              <w:t>Membre de Jurys : 51 %</w:t>
            </w:r>
          </w:p>
          <w:p w:rsidR="004F47E1" w:rsidRPr="00D91A4E" w:rsidRDefault="004F47E1" w:rsidP="002A3EE5">
            <w:pPr>
              <w:numPr>
                <w:ilvl w:val="0"/>
                <w:numId w:val="46"/>
              </w:numPr>
              <w:jc w:val="both"/>
              <w:rPr>
                <w:b/>
                <w:sz w:val="20"/>
                <w:szCs w:val="20"/>
              </w:rPr>
            </w:pPr>
            <w:r w:rsidRPr="00D91A4E">
              <w:rPr>
                <w:bCs/>
                <w:sz w:val="20"/>
                <w:szCs w:val="20"/>
              </w:rPr>
              <w:t xml:space="preserve"> Présidence de jurys : 31 %</w:t>
            </w:r>
          </w:p>
        </w:tc>
        <w:tc>
          <w:tcPr>
            <w:tcW w:w="300" w:type="dxa"/>
            <w:tcBorders>
              <w:bottom w:val="single" w:sz="4" w:space="0" w:color="auto"/>
            </w:tcBorders>
            <w:shd w:val="clear" w:color="auto" w:fill="FFC000"/>
            <w:vAlign w:val="center"/>
          </w:tcPr>
          <w:p w:rsidR="004F47E1" w:rsidRPr="00E10B2A" w:rsidRDefault="004F47E1" w:rsidP="00556FF7">
            <w:pPr>
              <w:ind w:left="-57"/>
              <w:rPr>
                <w:rFonts w:ascii="DejaVu Sans" w:hAnsi="DejaVu Sans" w:cs="DejaVu Sans"/>
                <w:b/>
              </w:rPr>
            </w:pPr>
            <w:r w:rsidRPr="00E10B2A">
              <w:rPr>
                <w:rFonts w:ascii="DejaVu Sans" w:hAnsi="DejaVu Sans" w:cs="DejaVu Sans"/>
                <w:b/>
              </w:rPr>
              <w:t>▲</w:t>
            </w:r>
          </w:p>
        </w:tc>
      </w:tr>
      <w:tr w:rsidR="004F47E1" w:rsidRPr="00F839E4" w:rsidTr="00034921">
        <w:tc>
          <w:tcPr>
            <w:tcW w:w="9701" w:type="dxa"/>
            <w:gridSpan w:val="2"/>
            <w:tcBorders>
              <w:bottom w:val="single" w:sz="4" w:space="0" w:color="auto"/>
            </w:tcBorders>
          </w:tcPr>
          <w:p w:rsidR="004F47E1" w:rsidRDefault="004F47E1" w:rsidP="00AE52F4">
            <w:pPr>
              <w:rPr>
                <w:sz w:val="20"/>
                <w:szCs w:val="20"/>
              </w:rPr>
            </w:pPr>
          </w:p>
          <w:p w:rsidR="004F47E1" w:rsidRPr="00D71F10" w:rsidRDefault="004F47E1" w:rsidP="00F31974">
            <w:pPr>
              <w:rPr>
                <w:b/>
                <w:sz w:val="20"/>
                <w:szCs w:val="20"/>
              </w:rPr>
            </w:pPr>
            <w:r w:rsidRPr="00D408E5">
              <w:rPr>
                <w:b/>
                <w:sz w:val="20"/>
                <w:szCs w:val="20"/>
              </w:rPr>
              <w:t>Mesure 4.</w:t>
            </w:r>
            <w:r>
              <w:rPr>
                <w:b/>
                <w:sz w:val="20"/>
                <w:szCs w:val="20"/>
              </w:rPr>
              <w:t>2</w:t>
            </w:r>
            <w:r w:rsidRPr="00D408E5">
              <w:rPr>
                <w:b/>
                <w:sz w:val="20"/>
                <w:szCs w:val="20"/>
              </w:rPr>
              <w:t xml:space="preserve"> : Favoriser la compréhension des mécanismes subjectifs d’appréciation, les mécanismes inconscients, les écueils à éviter afin de rester objectif et prévenir les risques directs et indirects de discrimination</w:t>
            </w:r>
          </w:p>
        </w:tc>
        <w:tc>
          <w:tcPr>
            <w:tcW w:w="300" w:type="dxa"/>
            <w:tcBorders>
              <w:left w:val="nil"/>
              <w:bottom w:val="single" w:sz="4" w:space="0" w:color="auto"/>
              <w:right w:val="single" w:sz="4" w:space="0" w:color="auto"/>
            </w:tcBorders>
            <w:shd w:val="clear" w:color="auto" w:fill="auto"/>
            <w:vAlign w:val="center"/>
          </w:tcPr>
          <w:p w:rsidR="004F47E1" w:rsidRPr="00E10B2A" w:rsidRDefault="004F47E1" w:rsidP="00D41219">
            <w:pPr>
              <w:ind w:left="-57"/>
              <w:rPr>
                <w:rFonts w:ascii="DejaVu Sans" w:hAnsi="DejaVu Sans" w:cs="DejaVu Sans"/>
                <w:b/>
              </w:rPr>
            </w:pPr>
          </w:p>
        </w:tc>
      </w:tr>
      <w:tr w:rsidR="004F47E1" w:rsidRPr="00F839E4" w:rsidTr="000F4045">
        <w:tc>
          <w:tcPr>
            <w:tcW w:w="5637" w:type="dxa"/>
            <w:tcBorders>
              <w:top w:val="single" w:sz="4" w:space="0" w:color="auto"/>
            </w:tcBorders>
          </w:tcPr>
          <w:p w:rsidR="004F47E1" w:rsidRPr="00FC043D" w:rsidRDefault="004F47E1" w:rsidP="00F31974">
            <w:pPr>
              <w:numPr>
                <w:ilvl w:val="0"/>
                <w:numId w:val="40"/>
              </w:numPr>
              <w:rPr>
                <w:i/>
                <w:sz w:val="20"/>
                <w:szCs w:val="20"/>
              </w:rPr>
            </w:pPr>
            <w:r w:rsidRPr="00FC043D">
              <w:rPr>
                <w:i/>
                <w:sz w:val="20"/>
                <w:szCs w:val="20"/>
              </w:rPr>
              <w:t xml:space="preserve">Poursuivre les formations des membres de jury de concours/examens professionnels </w:t>
            </w:r>
          </w:p>
        </w:tc>
        <w:tc>
          <w:tcPr>
            <w:tcW w:w="4064" w:type="dxa"/>
            <w:tcBorders>
              <w:top w:val="single" w:sz="4" w:space="0" w:color="auto"/>
            </w:tcBorders>
          </w:tcPr>
          <w:p w:rsidR="004F47E1" w:rsidRPr="00B70BFE" w:rsidRDefault="004F47E1" w:rsidP="00C52C4B">
            <w:pPr>
              <w:rPr>
                <w:b/>
                <w:sz w:val="20"/>
                <w:szCs w:val="20"/>
              </w:rPr>
            </w:pPr>
          </w:p>
        </w:tc>
        <w:tc>
          <w:tcPr>
            <w:tcW w:w="300" w:type="dxa"/>
            <w:tcBorders>
              <w:top w:val="single" w:sz="4" w:space="0" w:color="auto"/>
              <w:left w:val="nil"/>
              <w:bottom w:val="single" w:sz="4" w:space="0" w:color="auto"/>
              <w:right w:val="single" w:sz="4" w:space="0" w:color="auto"/>
            </w:tcBorders>
            <w:shd w:val="clear" w:color="auto" w:fill="00B050"/>
            <w:vAlign w:val="center"/>
          </w:tcPr>
          <w:p w:rsidR="004F47E1" w:rsidRPr="00E10B2A" w:rsidRDefault="004F47E1" w:rsidP="00D41219">
            <w:pPr>
              <w:ind w:left="-57"/>
              <w:rPr>
                <w:rFonts w:ascii="DejaVu Sans" w:hAnsi="DejaVu Sans" w:cs="DejaVu Sans"/>
                <w:b/>
              </w:rPr>
            </w:pPr>
            <w:r w:rsidRPr="00E10B2A">
              <w:rPr>
                <w:rFonts w:ascii="DejaVu Sans" w:hAnsi="DejaVu Sans" w:cs="DejaVu Sans"/>
                <w:b/>
              </w:rPr>
              <w:t>●</w:t>
            </w:r>
          </w:p>
        </w:tc>
      </w:tr>
      <w:tr w:rsidR="004F47E1" w:rsidRPr="00F839E4" w:rsidTr="000302BC">
        <w:tc>
          <w:tcPr>
            <w:tcW w:w="5637" w:type="dxa"/>
            <w:tcBorders>
              <w:top w:val="single" w:sz="4" w:space="0" w:color="auto"/>
            </w:tcBorders>
          </w:tcPr>
          <w:p w:rsidR="004F47E1" w:rsidRPr="00823145" w:rsidRDefault="004F47E1" w:rsidP="00D31B5C">
            <w:pPr>
              <w:numPr>
                <w:ilvl w:val="0"/>
                <w:numId w:val="40"/>
              </w:numPr>
              <w:rPr>
                <w:sz w:val="20"/>
                <w:szCs w:val="20"/>
              </w:rPr>
            </w:pPr>
            <w:r w:rsidRPr="00823145">
              <w:rPr>
                <w:sz w:val="20"/>
                <w:szCs w:val="20"/>
              </w:rPr>
              <w:t>Etendre l’objectif à l’ensemble des formations et en particulier à celles destinées aux agents réalisant des entretiens de recrutement</w:t>
            </w:r>
          </w:p>
        </w:tc>
        <w:tc>
          <w:tcPr>
            <w:tcW w:w="4064" w:type="dxa"/>
            <w:tcBorders>
              <w:top w:val="single" w:sz="4" w:space="0" w:color="auto"/>
            </w:tcBorders>
          </w:tcPr>
          <w:p w:rsidR="004F47E1" w:rsidRPr="00B70BFE" w:rsidRDefault="004F47E1" w:rsidP="00C52C4B">
            <w:pPr>
              <w:rPr>
                <w:b/>
                <w:sz w:val="20"/>
                <w:szCs w:val="20"/>
              </w:rPr>
            </w:pPr>
            <w:r>
              <w:rPr>
                <w:b/>
                <w:sz w:val="20"/>
                <w:szCs w:val="20"/>
              </w:rPr>
              <w:t>2016</w:t>
            </w:r>
          </w:p>
        </w:tc>
        <w:tc>
          <w:tcPr>
            <w:tcW w:w="300" w:type="dxa"/>
            <w:tcBorders>
              <w:top w:val="single" w:sz="4" w:space="0" w:color="auto"/>
              <w:left w:val="nil"/>
              <w:bottom w:val="single" w:sz="4" w:space="0" w:color="auto"/>
              <w:right w:val="single" w:sz="4" w:space="0" w:color="auto"/>
            </w:tcBorders>
            <w:shd w:val="clear" w:color="auto" w:fill="auto"/>
            <w:vAlign w:val="center"/>
          </w:tcPr>
          <w:p w:rsidR="004F47E1" w:rsidRPr="00E10B2A" w:rsidRDefault="004F47E1" w:rsidP="00D41219">
            <w:pPr>
              <w:ind w:left="-57"/>
              <w:rPr>
                <w:rFonts w:ascii="DejaVu Sans" w:hAnsi="DejaVu Sans" w:cs="DejaVu Sans"/>
                <w:b/>
              </w:rPr>
            </w:pPr>
          </w:p>
        </w:tc>
      </w:tr>
      <w:tr w:rsidR="004F47E1" w:rsidRPr="00F839E4" w:rsidTr="001B6B64">
        <w:tc>
          <w:tcPr>
            <w:tcW w:w="9701" w:type="dxa"/>
            <w:gridSpan w:val="2"/>
            <w:tcBorders>
              <w:bottom w:val="single" w:sz="4" w:space="0" w:color="auto"/>
            </w:tcBorders>
          </w:tcPr>
          <w:p w:rsidR="004F47E1" w:rsidRDefault="004F47E1" w:rsidP="00AE52F4">
            <w:pPr>
              <w:rPr>
                <w:sz w:val="20"/>
                <w:szCs w:val="20"/>
              </w:rPr>
            </w:pPr>
          </w:p>
          <w:p w:rsidR="004F47E1" w:rsidRPr="00D71F10" w:rsidRDefault="004F47E1" w:rsidP="00BE591A">
            <w:pPr>
              <w:rPr>
                <w:b/>
                <w:sz w:val="20"/>
                <w:szCs w:val="20"/>
              </w:rPr>
            </w:pPr>
            <w:r w:rsidRPr="00F260F2">
              <w:rPr>
                <w:b/>
                <w:sz w:val="20"/>
                <w:szCs w:val="20"/>
              </w:rPr>
              <w:t>Mesure 4.</w:t>
            </w:r>
            <w:r>
              <w:rPr>
                <w:b/>
                <w:sz w:val="20"/>
                <w:szCs w:val="20"/>
              </w:rPr>
              <w:t>3</w:t>
            </w:r>
            <w:r w:rsidRPr="00F260F2">
              <w:rPr>
                <w:b/>
                <w:sz w:val="20"/>
                <w:szCs w:val="20"/>
              </w:rPr>
              <w:t xml:space="preserve"> : Veiller pour les recrutements </w:t>
            </w:r>
            <w:r>
              <w:rPr>
                <w:b/>
                <w:sz w:val="20"/>
                <w:szCs w:val="20"/>
              </w:rPr>
              <w:t xml:space="preserve">non visés à la mesure 4.1, </w:t>
            </w:r>
            <w:r w:rsidRPr="00F260F2">
              <w:rPr>
                <w:b/>
                <w:sz w:val="20"/>
                <w:szCs w:val="20"/>
              </w:rPr>
              <w:t>à l’application effective des règles de transparence et de traçabilité définies par l’instruction  du 27 juillet 2012 relative aux nouvelles procédures de recrutement mises en place dans les ministères chargés des affaires sociales.</w:t>
            </w:r>
          </w:p>
        </w:tc>
        <w:tc>
          <w:tcPr>
            <w:tcW w:w="300" w:type="dxa"/>
            <w:tcBorders>
              <w:bottom w:val="single" w:sz="4" w:space="0" w:color="auto"/>
            </w:tcBorders>
            <w:shd w:val="clear" w:color="auto" w:fill="auto"/>
            <w:vAlign w:val="center"/>
          </w:tcPr>
          <w:p w:rsidR="004F47E1" w:rsidRPr="00E10B2A" w:rsidRDefault="004F47E1" w:rsidP="00556FF7">
            <w:pPr>
              <w:ind w:left="-57"/>
              <w:rPr>
                <w:rFonts w:ascii="DejaVu Sans" w:hAnsi="DejaVu Sans" w:cs="DejaVu Sans"/>
                <w:b/>
              </w:rPr>
            </w:pPr>
          </w:p>
        </w:tc>
      </w:tr>
      <w:tr w:rsidR="004F47E1" w:rsidRPr="00F839E4" w:rsidTr="00A8001A">
        <w:tc>
          <w:tcPr>
            <w:tcW w:w="5637" w:type="dxa"/>
            <w:tcBorders>
              <w:top w:val="nil"/>
            </w:tcBorders>
          </w:tcPr>
          <w:p w:rsidR="004F47E1" w:rsidRPr="00FC043D" w:rsidRDefault="004F47E1" w:rsidP="00EC6681">
            <w:pPr>
              <w:numPr>
                <w:ilvl w:val="0"/>
                <w:numId w:val="41"/>
              </w:numPr>
              <w:rPr>
                <w:i/>
                <w:sz w:val="20"/>
                <w:szCs w:val="20"/>
              </w:rPr>
            </w:pPr>
            <w:r w:rsidRPr="00FC043D">
              <w:rPr>
                <w:i/>
                <w:sz w:val="20"/>
                <w:szCs w:val="20"/>
              </w:rPr>
              <w:t>Continuer d’évaluer son impact à partir d’un questionnaire renseigné par les référents diversité</w:t>
            </w:r>
          </w:p>
        </w:tc>
        <w:tc>
          <w:tcPr>
            <w:tcW w:w="4064" w:type="dxa"/>
            <w:tcBorders>
              <w:top w:val="nil"/>
            </w:tcBorders>
          </w:tcPr>
          <w:p w:rsidR="004F47E1" w:rsidRPr="00B70BFE" w:rsidRDefault="004F47E1" w:rsidP="005E622F">
            <w:pPr>
              <w:rPr>
                <w:b/>
                <w:sz w:val="20"/>
                <w:szCs w:val="20"/>
              </w:rPr>
            </w:pPr>
          </w:p>
        </w:tc>
        <w:tc>
          <w:tcPr>
            <w:tcW w:w="300" w:type="dxa"/>
            <w:tcBorders>
              <w:bottom w:val="single" w:sz="4" w:space="0" w:color="auto"/>
            </w:tcBorders>
            <w:shd w:val="clear" w:color="auto" w:fill="548DD4"/>
            <w:vAlign w:val="center"/>
          </w:tcPr>
          <w:p w:rsidR="004F47E1" w:rsidRPr="00E10B2A" w:rsidRDefault="004F47E1" w:rsidP="00440C8C">
            <w:pPr>
              <w:ind w:left="-57"/>
              <w:rPr>
                <w:rFonts w:ascii="DejaVu Sans" w:hAnsi="DejaVu Sans" w:cs="DejaVu Sans"/>
                <w:b/>
              </w:rPr>
            </w:pPr>
            <w:r>
              <w:rPr>
                <w:b/>
              </w:rPr>
              <w:sym w:font="Monotype Sorts" w:char="F0DA"/>
            </w:r>
          </w:p>
        </w:tc>
      </w:tr>
      <w:tr w:rsidR="004F47E1" w:rsidRPr="00F839E4" w:rsidTr="001B6B64">
        <w:tc>
          <w:tcPr>
            <w:tcW w:w="9701" w:type="dxa"/>
            <w:gridSpan w:val="2"/>
            <w:tcBorders>
              <w:bottom w:val="single" w:sz="4" w:space="0" w:color="auto"/>
            </w:tcBorders>
          </w:tcPr>
          <w:p w:rsidR="004F47E1" w:rsidRDefault="004F47E1" w:rsidP="00AE52F4">
            <w:pPr>
              <w:rPr>
                <w:sz w:val="20"/>
                <w:szCs w:val="20"/>
              </w:rPr>
            </w:pPr>
          </w:p>
          <w:p w:rsidR="004F47E1" w:rsidRPr="00D71F10" w:rsidRDefault="004F47E1" w:rsidP="00D71F10">
            <w:pPr>
              <w:pStyle w:val="Paragraphedeliste1"/>
              <w:ind w:left="0"/>
              <w:jc w:val="both"/>
              <w:rPr>
                <w:b/>
              </w:rPr>
            </w:pPr>
            <w:r w:rsidRPr="00020F8D">
              <w:rPr>
                <w:b/>
              </w:rPr>
              <w:t>Mesure 4.</w:t>
            </w:r>
            <w:r>
              <w:rPr>
                <w:b/>
              </w:rPr>
              <w:t>4</w:t>
            </w:r>
            <w:r w:rsidRPr="00020F8D">
              <w:rPr>
                <w:b/>
              </w:rPr>
              <w:t xml:space="preserve"> : Veiller au respect de l’usage de la représentation équitable du féminin ou du masculin ou de la neutralité des genres dans la rédaction des notes, rapports, fiches de postes.</w:t>
            </w:r>
          </w:p>
        </w:tc>
        <w:tc>
          <w:tcPr>
            <w:tcW w:w="300" w:type="dxa"/>
            <w:tcBorders>
              <w:bottom w:val="single" w:sz="4" w:space="0" w:color="auto"/>
            </w:tcBorders>
            <w:shd w:val="clear" w:color="auto" w:fill="auto"/>
            <w:vAlign w:val="center"/>
          </w:tcPr>
          <w:p w:rsidR="004F47E1" w:rsidRPr="00E10B2A" w:rsidRDefault="004F47E1" w:rsidP="00577575">
            <w:pPr>
              <w:ind w:left="-57"/>
              <w:rPr>
                <w:rFonts w:ascii="DejaVu Sans" w:hAnsi="DejaVu Sans" w:cs="DejaVu Sans"/>
                <w:b/>
              </w:rPr>
            </w:pPr>
          </w:p>
        </w:tc>
      </w:tr>
      <w:tr w:rsidR="004F47E1" w:rsidRPr="00F839E4" w:rsidTr="00980DF9">
        <w:tc>
          <w:tcPr>
            <w:tcW w:w="5637" w:type="dxa"/>
            <w:tcBorders>
              <w:top w:val="nil"/>
              <w:bottom w:val="single" w:sz="4" w:space="0" w:color="auto"/>
            </w:tcBorders>
          </w:tcPr>
          <w:p w:rsidR="004F47E1" w:rsidRPr="00FC043D" w:rsidRDefault="004F47E1" w:rsidP="0096158A">
            <w:pPr>
              <w:numPr>
                <w:ilvl w:val="0"/>
                <w:numId w:val="41"/>
              </w:numPr>
              <w:rPr>
                <w:i/>
                <w:sz w:val="20"/>
                <w:szCs w:val="20"/>
              </w:rPr>
            </w:pPr>
            <w:r w:rsidRPr="00FC043D">
              <w:rPr>
                <w:i/>
                <w:sz w:val="20"/>
                <w:szCs w:val="20"/>
              </w:rPr>
              <w:t>Surveiller périodiquement les fiches de postes diffusées sur la BIEAC et la BIEP dans les sphères Travail et Affaires sociales et être vigilant sur les autres actes de gestion.</w:t>
            </w:r>
          </w:p>
        </w:tc>
        <w:tc>
          <w:tcPr>
            <w:tcW w:w="4064" w:type="dxa"/>
            <w:tcBorders>
              <w:top w:val="nil"/>
              <w:bottom w:val="single" w:sz="4" w:space="0" w:color="auto"/>
            </w:tcBorders>
          </w:tcPr>
          <w:p w:rsidR="004F47E1" w:rsidRPr="00980DF9" w:rsidRDefault="00056846" w:rsidP="002A3EE5">
            <w:pPr>
              <w:jc w:val="both"/>
              <w:rPr>
                <w:sz w:val="20"/>
                <w:szCs w:val="20"/>
              </w:rPr>
            </w:pPr>
            <w:r w:rsidRPr="00980DF9">
              <w:rPr>
                <w:sz w:val="20"/>
                <w:szCs w:val="20"/>
              </w:rPr>
              <w:t>F</w:t>
            </w:r>
            <w:r w:rsidR="00371425" w:rsidRPr="00980DF9">
              <w:rPr>
                <w:sz w:val="20"/>
                <w:szCs w:val="20"/>
              </w:rPr>
              <w:t>ai</w:t>
            </w:r>
            <w:r w:rsidRPr="00980DF9">
              <w:rPr>
                <w:sz w:val="20"/>
                <w:szCs w:val="20"/>
              </w:rPr>
              <w:t>t par la mission des parcours professionnels et la Haute fonctionnaire à l’égalité des droits</w:t>
            </w:r>
          </w:p>
        </w:tc>
        <w:tc>
          <w:tcPr>
            <w:tcW w:w="300" w:type="dxa"/>
            <w:tcBorders>
              <w:bottom w:val="single" w:sz="4" w:space="0" w:color="auto"/>
            </w:tcBorders>
            <w:shd w:val="clear" w:color="auto" w:fill="00B050"/>
            <w:vAlign w:val="center"/>
          </w:tcPr>
          <w:p w:rsidR="004F47E1" w:rsidRPr="00E10B2A" w:rsidRDefault="00980DF9" w:rsidP="00556FF7">
            <w:pPr>
              <w:ind w:left="-57"/>
              <w:rPr>
                <w:rFonts w:ascii="DejaVu Sans" w:hAnsi="DejaVu Sans" w:cs="DejaVu Sans"/>
                <w:b/>
              </w:rPr>
            </w:pPr>
            <w:r w:rsidRPr="00E10B2A">
              <w:rPr>
                <w:rFonts w:ascii="DejaVu Sans" w:hAnsi="DejaVu Sans" w:cs="DejaVu Sans"/>
                <w:b/>
              </w:rPr>
              <w:t>●</w:t>
            </w:r>
          </w:p>
        </w:tc>
      </w:tr>
      <w:tr w:rsidR="004F47E1" w:rsidRPr="00F839E4" w:rsidTr="00B70BFE">
        <w:tc>
          <w:tcPr>
            <w:tcW w:w="9701" w:type="dxa"/>
            <w:gridSpan w:val="2"/>
            <w:tcBorders>
              <w:top w:val="nil"/>
              <w:bottom w:val="single" w:sz="4" w:space="0" w:color="auto"/>
            </w:tcBorders>
          </w:tcPr>
          <w:p w:rsidR="004F47E1" w:rsidRDefault="004F47E1" w:rsidP="00982566">
            <w:pPr>
              <w:rPr>
                <w:b/>
                <w:sz w:val="20"/>
                <w:szCs w:val="20"/>
              </w:rPr>
            </w:pPr>
          </w:p>
          <w:p w:rsidR="004F47E1" w:rsidRPr="00FE4C20" w:rsidRDefault="004F47E1" w:rsidP="00982566">
            <w:pPr>
              <w:rPr>
                <w:b/>
                <w:sz w:val="20"/>
                <w:szCs w:val="20"/>
              </w:rPr>
            </w:pPr>
            <w:r>
              <w:rPr>
                <w:b/>
                <w:sz w:val="20"/>
                <w:szCs w:val="20"/>
              </w:rPr>
              <w:t>Mesure 4.5 : Favoriser la mixité des métiers</w:t>
            </w:r>
          </w:p>
        </w:tc>
        <w:tc>
          <w:tcPr>
            <w:tcW w:w="300" w:type="dxa"/>
            <w:tcBorders>
              <w:bottom w:val="single" w:sz="4" w:space="0" w:color="auto"/>
            </w:tcBorders>
            <w:shd w:val="clear" w:color="auto" w:fill="auto"/>
            <w:vAlign w:val="center"/>
          </w:tcPr>
          <w:p w:rsidR="004F47E1" w:rsidRPr="00E10B2A" w:rsidRDefault="004F47E1" w:rsidP="00440C8C">
            <w:pPr>
              <w:ind w:left="-57"/>
              <w:rPr>
                <w:rFonts w:ascii="DejaVu Sans" w:hAnsi="DejaVu Sans" w:cs="DejaVu Sans"/>
                <w:b/>
              </w:rPr>
            </w:pPr>
          </w:p>
        </w:tc>
      </w:tr>
      <w:tr w:rsidR="004F47E1" w:rsidRPr="00F839E4" w:rsidTr="002A4728">
        <w:tc>
          <w:tcPr>
            <w:tcW w:w="5637" w:type="dxa"/>
            <w:tcBorders>
              <w:top w:val="nil"/>
              <w:bottom w:val="single" w:sz="4" w:space="0" w:color="auto"/>
            </w:tcBorders>
          </w:tcPr>
          <w:p w:rsidR="004F47E1" w:rsidRPr="00F260F2" w:rsidRDefault="004F47E1" w:rsidP="002A4728">
            <w:pPr>
              <w:numPr>
                <w:ilvl w:val="0"/>
                <w:numId w:val="41"/>
              </w:numPr>
              <w:rPr>
                <w:sz w:val="20"/>
                <w:szCs w:val="20"/>
              </w:rPr>
            </w:pPr>
            <w:r w:rsidRPr="00FE4C20">
              <w:rPr>
                <w:sz w:val="20"/>
                <w:szCs w:val="20"/>
              </w:rPr>
              <w:t>Identifier</w:t>
            </w:r>
            <w:r>
              <w:rPr>
                <w:sz w:val="20"/>
                <w:szCs w:val="20"/>
              </w:rPr>
              <w:t xml:space="preserve"> les familles de métiers et métiers à prioriser en termes de mixité </w:t>
            </w:r>
          </w:p>
        </w:tc>
        <w:tc>
          <w:tcPr>
            <w:tcW w:w="4064" w:type="dxa"/>
            <w:tcBorders>
              <w:top w:val="nil"/>
              <w:bottom w:val="single" w:sz="4" w:space="0" w:color="auto"/>
            </w:tcBorders>
          </w:tcPr>
          <w:p w:rsidR="004F47E1" w:rsidRPr="00B70BFE" w:rsidRDefault="004F47E1" w:rsidP="002A4728">
            <w:pPr>
              <w:rPr>
                <w:b/>
                <w:sz w:val="20"/>
                <w:szCs w:val="20"/>
              </w:rPr>
            </w:pPr>
            <w:r>
              <w:rPr>
                <w:b/>
                <w:sz w:val="20"/>
                <w:szCs w:val="20"/>
              </w:rPr>
              <w:t>2016</w:t>
            </w:r>
          </w:p>
        </w:tc>
        <w:tc>
          <w:tcPr>
            <w:tcW w:w="300" w:type="dxa"/>
            <w:tcBorders>
              <w:bottom w:val="single" w:sz="4" w:space="0" w:color="auto"/>
            </w:tcBorders>
            <w:shd w:val="clear" w:color="auto" w:fill="auto"/>
            <w:vAlign w:val="center"/>
          </w:tcPr>
          <w:p w:rsidR="004F47E1" w:rsidRPr="00E10B2A" w:rsidRDefault="004F47E1" w:rsidP="002A4728">
            <w:pPr>
              <w:ind w:left="-57"/>
              <w:rPr>
                <w:rFonts w:ascii="DejaVu Sans" w:hAnsi="DejaVu Sans" w:cs="DejaVu Sans"/>
                <w:b/>
              </w:rPr>
            </w:pPr>
          </w:p>
        </w:tc>
      </w:tr>
      <w:tr w:rsidR="00E80814" w:rsidRPr="00F839E4" w:rsidTr="00E80814">
        <w:tc>
          <w:tcPr>
            <w:tcW w:w="5637" w:type="dxa"/>
            <w:tcBorders>
              <w:top w:val="nil"/>
              <w:bottom w:val="single" w:sz="4" w:space="0" w:color="auto"/>
            </w:tcBorders>
          </w:tcPr>
          <w:p w:rsidR="00E80814" w:rsidRPr="00F260F2" w:rsidRDefault="00E80814" w:rsidP="00FC043D">
            <w:pPr>
              <w:numPr>
                <w:ilvl w:val="0"/>
                <w:numId w:val="41"/>
              </w:numPr>
              <w:rPr>
                <w:sz w:val="20"/>
                <w:szCs w:val="20"/>
              </w:rPr>
            </w:pPr>
            <w:r>
              <w:rPr>
                <w:sz w:val="20"/>
                <w:szCs w:val="20"/>
              </w:rPr>
              <w:t>Constituer pour chaque recrutement des short-</w:t>
            </w:r>
            <w:proofErr w:type="spellStart"/>
            <w:r>
              <w:rPr>
                <w:sz w:val="20"/>
                <w:szCs w:val="20"/>
              </w:rPr>
              <w:t>lists</w:t>
            </w:r>
            <w:proofErr w:type="spellEnd"/>
            <w:r>
              <w:rPr>
                <w:sz w:val="20"/>
                <w:szCs w:val="20"/>
              </w:rPr>
              <w:t xml:space="preserve"> femmes/hommes permettant de rééquilibrer des secteurs où l’un des genres est surreprésenté. Les critères d’inscription sur ces short-</w:t>
            </w:r>
            <w:proofErr w:type="spellStart"/>
            <w:r>
              <w:rPr>
                <w:sz w:val="20"/>
                <w:szCs w:val="20"/>
              </w:rPr>
              <w:t>lists</w:t>
            </w:r>
            <w:proofErr w:type="spellEnd"/>
            <w:r>
              <w:rPr>
                <w:sz w:val="20"/>
                <w:szCs w:val="20"/>
              </w:rPr>
              <w:t xml:space="preserve"> devront être transparents</w:t>
            </w:r>
          </w:p>
        </w:tc>
        <w:tc>
          <w:tcPr>
            <w:tcW w:w="4064" w:type="dxa"/>
            <w:tcBorders>
              <w:top w:val="nil"/>
              <w:bottom w:val="single" w:sz="4" w:space="0" w:color="auto"/>
            </w:tcBorders>
          </w:tcPr>
          <w:p w:rsidR="00E80814" w:rsidRDefault="00E80814" w:rsidP="002A3EE5">
            <w:pPr>
              <w:jc w:val="both"/>
              <w:rPr>
                <w:b/>
                <w:sz w:val="20"/>
                <w:szCs w:val="20"/>
              </w:rPr>
            </w:pPr>
            <w:r>
              <w:rPr>
                <w:b/>
                <w:sz w:val="20"/>
                <w:szCs w:val="20"/>
              </w:rPr>
              <w:t>2015</w:t>
            </w:r>
          </w:p>
          <w:p w:rsidR="00E80814" w:rsidRPr="00980DF9" w:rsidRDefault="00A45F90" w:rsidP="002A3EE5">
            <w:pPr>
              <w:jc w:val="both"/>
              <w:rPr>
                <w:sz w:val="20"/>
                <w:szCs w:val="20"/>
              </w:rPr>
            </w:pPr>
            <w:r>
              <w:rPr>
                <w:sz w:val="20"/>
                <w:szCs w:val="20"/>
              </w:rPr>
              <w:t xml:space="preserve">Les </w:t>
            </w:r>
            <w:proofErr w:type="gramStart"/>
            <w:r>
              <w:rPr>
                <w:sz w:val="20"/>
                <w:szCs w:val="20"/>
              </w:rPr>
              <w:t>s</w:t>
            </w:r>
            <w:r w:rsidR="00E80814" w:rsidRPr="00980DF9">
              <w:rPr>
                <w:sz w:val="20"/>
                <w:szCs w:val="20"/>
              </w:rPr>
              <w:t>hort</w:t>
            </w:r>
            <w:proofErr w:type="gramEnd"/>
            <w:r w:rsidR="00E80814" w:rsidRPr="00980DF9">
              <w:rPr>
                <w:sz w:val="20"/>
                <w:szCs w:val="20"/>
              </w:rPr>
              <w:t xml:space="preserve"> </w:t>
            </w:r>
            <w:proofErr w:type="spellStart"/>
            <w:r w:rsidR="00E80814" w:rsidRPr="00980DF9">
              <w:rPr>
                <w:sz w:val="20"/>
                <w:szCs w:val="20"/>
              </w:rPr>
              <w:t>list</w:t>
            </w:r>
            <w:r>
              <w:rPr>
                <w:sz w:val="20"/>
                <w:szCs w:val="20"/>
              </w:rPr>
              <w:t>s</w:t>
            </w:r>
            <w:proofErr w:type="spellEnd"/>
            <w:r w:rsidR="00E80814" w:rsidRPr="00980DF9">
              <w:rPr>
                <w:sz w:val="20"/>
                <w:szCs w:val="20"/>
              </w:rPr>
              <w:t xml:space="preserve"> sont réalisées en particulier pour les emplois de DATE : le sujet est que la mobilité impliquée par ces postes conduit à une assez faible présence de femmes.</w:t>
            </w:r>
          </w:p>
        </w:tc>
        <w:tc>
          <w:tcPr>
            <w:tcW w:w="300" w:type="dxa"/>
            <w:tcBorders>
              <w:bottom w:val="single" w:sz="4" w:space="0" w:color="auto"/>
            </w:tcBorders>
            <w:shd w:val="clear" w:color="auto" w:fill="548DD4" w:themeFill="text2" w:themeFillTint="99"/>
            <w:vAlign w:val="center"/>
          </w:tcPr>
          <w:p w:rsidR="00E80814" w:rsidRPr="00E10B2A" w:rsidRDefault="00E80814" w:rsidP="00AF0418">
            <w:pPr>
              <w:ind w:left="-57"/>
              <w:rPr>
                <w:rFonts w:ascii="DejaVu Sans" w:hAnsi="DejaVu Sans" w:cs="DejaVu Sans"/>
                <w:b/>
              </w:rPr>
            </w:pPr>
            <w:r>
              <w:rPr>
                <w:b/>
              </w:rPr>
              <w:sym w:font="Monotype Sorts" w:char="F0DA"/>
            </w:r>
          </w:p>
        </w:tc>
      </w:tr>
      <w:tr w:rsidR="00E80814" w:rsidRPr="00F839E4" w:rsidTr="00D25AD7">
        <w:tc>
          <w:tcPr>
            <w:tcW w:w="5637" w:type="dxa"/>
            <w:tcBorders>
              <w:left w:val="nil"/>
              <w:bottom w:val="single" w:sz="24" w:space="0" w:color="800000"/>
              <w:right w:val="nil"/>
            </w:tcBorders>
          </w:tcPr>
          <w:p w:rsidR="00E80814" w:rsidRDefault="00E80814" w:rsidP="00AE52F4">
            <w:pPr>
              <w:rPr>
                <w:b/>
                <w:sz w:val="18"/>
                <w:szCs w:val="18"/>
              </w:rPr>
            </w:pPr>
          </w:p>
        </w:tc>
        <w:tc>
          <w:tcPr>
            <w:tcW w:w="4064" w:type="dxa"/>
            <w:tcBorders>
              <w:left w:val="nil"/>
              <w:bottom w:val="single" w:sz="24" w:space="0" w:color="800000"/>
              <w:right w:val="nil"/>
            </w:tcBorders>
          </w:tcPr>
          <w:p w:rsidR="00E80814" w:rsidRPr="00F839E4" w:rsidRDefault="00E80814" w:rsidP="00AE52F4">
            <w:pPr>
              <w:rPr>
                <w:b/>
                <w:sz w:val="18"/>
                <w:szCs w:val="18"/>
              </w:rPr>
            </w:pPr>
          </w:p>
        </w:tc>
        <w:tc>
          <w:tcPr>
            <w:tcW w:w="300" w:type="dxa"/>
            <w:tcBorders>
              <w:bottom w:val="single" w:sz="4" w:space="0" w:color="auto"/>
            </w:tcBorders>
            <w:shd w:val="clear" w:color="auto" w:fill="auto"/>
            <w:vAlign w:val="center"/>
          </w:tcPr>
          <w:p w:rsidR="00E80814" w:rsidRPr="00E10B2A" w:rsidRDefault="00E80814" w:rsidP="00577575">
            <w:pPr>
              <w:ind w:left="-57"/>
              <w:rPr>
                <w:rFonts w:ascii="DejaVu Sans" w:hAnsi="DejaVu Sans" w:cs="DejaVu Sans"/>
                <w:b/>
              </w:rPr>
            </w:pPr>
          </w:p>
        </w:tc>
      </w:tr>
      <w:tr w:rsidR="00E80814" w:rsidRPr="00F839E4" w:rsidTr="00DF4819">
        <w:tc>
          <w:tcPr>
            <w:tcW w:w="5637" w:type="dxa"/>
            <w:tcBorders>
              <w:top w:val="single" w:sz="24" w:space="0" w:color="800000"/>
              <w:left w:val="nil"/>
              <w:right w:val="nil"/>
            </w:tcBorders>
          </w:tcPr>
          <w:p w:rsidR="00E80814" w:rsidRDefault="00E80814" w:rsidP="00AE52F4">
            <w:pPr>
              <w:rPr>
                <w:b/>
                <w:sz w:val="18"/>
                <w:szCs w:val="18"/>
              </w:rPr>
            </w:pPr>
          </w:p>
          <w:p w:rsidR="00E80814" w:rsidRDefault="00E80814" w:rsidP="00AE52F4">
            <w:pPr>
              <w:rPr>
                <w:b/>
                <w:sz w:val="18"/>
                <w:szCs w:val="18"/>
              </w:rPr>
            </w:pPr>
          </w:p>
          <w:p w:rsidR="00E80814" w:rsidRDefault="00E80814" w:rsidP="00AE52F4">
            <w:pPr>
              <w:rPr>
                <w:b/>
                <w:sz w:val="18"/>
                <w:szCs w:val="18"/>
              </w:rPr>
            </w:pPr>
            <w:r>
              <w:rPr>
                <w:b/>
                <w:noProof/>
                <w:sz w:val="18"/>
                <w:szCs w:val="18"/>
                <w:lang w:eastAsia="fr-FR"/>
              </w:rPr>
              <w:drawing>
                <wp:inline distT="0" distB="0" distL="0" distR="0">
                  <wp:extent cx="819150" cy="904875"/>
                  <wp:effectExtent l="0" t="0" r="0" b="0"/>
                  <wp:docPr id="8" name="Image 6" descr="MC900334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34308[1]"/>
                          <pic:cNvPicPr>
                            <a:picLocks noChangeAspect="1" noChangeArrowheads="1"/>
                          </pic:cNvPicPr>
                        </pic:nvPicPr>
                        <pic:blipFill>
                          <a:blip r:embed="rId12" cstate="print"/>
                          <a:srcRect/>
                          <a:stretch>
                            <a:fillRect/>
                          </a:stretch>
                        </pic:blipFill>
                        <pic:spPr bwMode="auto">
                          <a:xfrm>
                            <a:off x="0" y="0"/>
                            <a:ext cx="819150" cy="904875"/>
                          </a:xfrm>
                          <a:prstGeom prst="rect">
                            <a:avLst/>
                          </a:prstGeom>
                          <a:noFill/>
                          <a:ln w="9525">
                            <a:noFill/>
                            <a:miter lim="800000"/>
                            <a:headEnd/>
                            <a:tailEnd/>
                          </a:ln>
                        </pic:spPr>
                      </pic:pic>
                    </a:graphicData>
                  </a:graphic>
                </wp:inline>
              </w:drawing>
            </w:r>
          </w:p>
          <w:p w:rsidR="00E80814" w:rsidRPr="00F839E4" w:rsidRDefault="00E80814" w:rsidP="00AE52F4">
            <w:pPr>
              <w:rPr>
                <w:b/>
                <w:sz w:val="18"/>
                <w:szCs w:val="18"/>
              </w:rPr>
            </w:pPr>
          </w:p>
        </w:tc>
        <w:tc>
          <w:tcPr>
            <w:tcW w:w="4064" w:type="dxa"/>
            <w:tcBorders>
              <w:top w:val="single" w:sz="24" w:space="0" w:color="800000"/>
              <w:left w:val="nil"/>
              <w:right w:val="nil"/>
            </w:tcBorders>
            <w:vAlign w:val="center"/>
          </w:tcPr>
          <w:p w:rsidR="00E80814" w:rsidRDefault="00E80814" w:rsidP="00382F40">
            <w:pPr>
              <w:ind w:left="1943"/>
              <w:jc w:val="right"/>
              <w:rPr>
                <w:rFonts w:ascii="Arial" w:hAnsi="Arial" w:cs="Arial"/>
                <w:b/>
                <w:sz w:val="22"/>
                <w:szCs w:val="22"/>
              </w:rPr>
            </w:pPr>
          </w:p>
          <w:p w:rsidR="00E80814" w:rsidRDefault="00E80814" w:rsidP="00382F40">
            <w:pPr>
              <w:ind w:left="1943"/>
              <w:jc w:val="right"/>
              <w:rPr>
                <w:rFonts w:ascii="Arial" w:hAnsi="Arial" w:cs="Arial"/>
                <w:b/>
                <w:sz w:val="22"/>
                <w:szCs w:val="22"/>
              </w:rPr>
            </w:pPr>
          </w:p>
          <w:p w:rsidR="00E80814" w:rsidRPr="006F30E9" w:rsidRDefault="00E80814" w:rsidP="00382F40">
            <w:pPr>
              <w:ind w:left="1943"/>
              <w:jc w:val="right"/>
              <w:rPr>
                <w:rFonts w:ascii="Arial" w:hAnsi="Arial" w:cs="Arial"/>
                <w:b/>
                <w:sz w:val="22"/>
                <w:szCs w:val="22"/>
              </w:rPr>
            </w:pPr>
            <w:r w:rsidRPr="006F30E9">
              <w:rPr>
                <w:rFonts w:ascii="Arial" w:hAnsi="Arial" w:cs="Arial"/>
                <w:b/>
                <w:sz w:val="22"/>
                <w:szCs w:val="22"/>
              </w:rPr>
              <w:t xml:space="preserve">Thème V – Mesures spécifiques  à </w:t>
            </w:r>
            <w:r>
              <w:rPr>
                <w:rFonts w:ascii="Arial" w:hAnsi="Arial" w:cs="Arial"/>
                <w:b/>
                <w:sz w:val="22"/>
                <w:szCs w:val="22"/>
              </w:rPr>
              <w:t>l’activité quotidienne des agents et à leur évolution de</w:t>
            </w:r>
            <w:r w:rsidRPr="006F30E9">
              <w:rPr>
                <w:rFonts w:ascii="Arial" w:hAnsi="Arial" w:cs="Arial"/>
                <w:b/>
                <w:sz w:val="22"/>
                <w:szCs w:val="22"/>
              </w:rPr>
              <w:t xml:space="preserve"> carrière</w:t>
            </w:r>
          </w:p>
        </w:tc>
        <w:tc>
          <w:tcPr>
            <w:tcW w:w="300" w:type="dxa"/>
            <w:tcBorders>
              <w:bottom w:val="single" w:sz="4" w:space="0" w:color="auto"/>
            </w:tcBorders>
            <w:shd w:val="clear" w:color="auto" w:fill="auto"/>
            <w:vAlign w:val="center"/>
          </w:tcPr>
          <w:p w:rsidR="00E80814" w:rsidRPr="00E10B2A" w:rsidRDefault="00E80814" w:rsidP="00556FF7">
            <w:pPr>
              <w:ind w:left="-57"/>
              <w:rPr>
                <w:rFonts w:ascii="DejaVu Sans" w:hAnsi="DejaVu Sans" w:cs="DejaVu Sans"/>
                <w:b/>
              </w:rPr>
            </w:pPr>
          </w:p>
        </w:tc>
      </w:tr>
      <w:tr w:rsidR="00E80814" w:rsidRPr="00F839E4" w:rsidTr="00DF4819">
        <w:tc>
          <w:tcPr>
            <w:tcW w:w="9701" w:type="dxa"/>
            <w:gridSpan w:val="2"/>
            <w:tcBorders>
              <w:bottom w:val="single" w:sz="4" w:space="0" w:color="auto"/>
            </w:tcBorders>
          </w:tcPr>
          <w:p w:rsidR="00E80814" w:rsidRDefault="00E80814" w:rsidP="00AE52F4">
            <w:pPr>
              <w:rPr>
                <w:b/>
                <w:sz w:val="20"/>
                <w:szCs w:val="20"/>
              </w:rPr>
            </w:pPr>
          </w:p>
          <w:p w:rsidR="00E80814" w:rsidRPr="00D71F10" w:rsidRDefault="00E80814" w:rsidP="00430B19">
            <w:pPr>
              <w:rPr>
                <w:b/>
                <w:sz w:val="20"/>
                <w:szCs w:val="20"/>
              </w:rPr>
            </w:pPr>
            <w:r w:rsidRPr="00430B19">
              <w:rPr>
                <w:b/>
                <w:sz w:val="20"/>
                <w:szCs w:val="20"/>
              </w:rPr>
              <w:t>Mesure 5.1 : Mieux prendre en compte les conséquences des absences de longue durée</w:t>
            </w:r>
          </w:p>
        </w:tc>
        <w:tc>
          <w:tcPr>
            <w:tcW w:w="300" w:type="dxa"/>
            <w:tcBorders>
              <w:bottom w:val="single" w:sz="4" w:space="0" w:color="auto"/>
            </w:tcBorders>
            <w:shd w:val="clear" w:color="auto" w:fill="auto"/>
            <w:vAlign w:val="center"/>
          </w:tcPr>
          <w:p w:rsidR="00E80814" w:rsidRPr="00E10B2A" w:rsidRDefault="00E80814" w:rsidP="00556FF7">
            <w:pPr>
              <w:ind w:left="-57"/>
              <w:rPr>
                <w:rFonts w:ascii="DejaVu Sans" w:hAnsi="DejaVu Sans" w:cs="DejaVu Sans"/>
                <w:b/>
              </w:rPr>
            </w:pPr>
          </w:p>
        </w:tc>
      </w:tr>
      <w:tr w:rsidR="00E80814" w:rsidRPr="00F839E4" w:rsidTr="00A8001A">
        <w:tc>
          <w:tcPr>
            <w:tcW w:w="5637" w:type="dxa"/>
            <w:tcBorders>
              <w:top w:val="single" w:sz="4" w:space="0" w:color="auto"/>
            </w:tcBorders>
          </w:tcPr>
          <w:p w:rsidR="00E80814" w:rsidRDefault="00E80814" w:rsidP="001816BB">
            <w:pPr>
              <w:numPr>
                <w:ilvl w:val="0"/>
                <w:numId w:val="32"/>
              </w:numPr>
              <w:rPr>
                <w:sz w:val="20"/>
                <w:szCs w:val="20"/>
              </w:rPr>
            </w:pPr>
            <w:r>
              <w:rPr>
                <w:sz w:val="20"/>
                <w:szCs w:val="20"/>
              </w:rPr>
              <w:t>Faire un bilan de l’application de l’i</w:t>
            </w:r>
            <w:r w:rsidRPr="00F839E4">
              <w:rPr>
                <w:sz w:val="20"/>
                <w:szCs w:val="20"/>
              </w:rPr>
              <w:t xml:space="preserve">nstruction et </w:t>
            </w:r>
            <w:r>
              <w:rPr>
                <w:sz w:val="20"/>
                <w:szCs w:val="20"/>
              </w:rPr>
              <w:t xml:space="preserve">du </w:t>
            </w:r>
            <w:r w:rsidRPr="00F839E4">
              <w:rPr>
                <w:sz w:val="20"/>
                <w:szCs w:val="20"/>
              </w:rPr>
              <w:t>guide de bonnes pratiques diffusés</w:t>
            </w:r>
            <w:r>
              <w:rPr>
                <w:sz w:val="20"/>
                <w:szCs w:val="20"/>
              </w:rPr>
              <w:t xml:space="preserve"> en février 2013 en services déconcentrés (hors travail) et en administration centrale.</w:t>
            </w:r>
          </w:p>
        </w:tc>
        <w:tc>
          <w:tcPr>
            <w:tcW w:w="4064" w:type="dxa"/>
            <w:tcBorders>
              <w:top w:val="single" w:sz="4" w:space="0" w:color="auto"/>
            </w:tcBorders>
          </w:tcPr>
          <w:p w:rsidR="00E80814" w:rsidRPr="006D09DA" w:rsidRDefault="00E80814" w:rsidP="00430B19">
            <w:pPr>
              <w:pStyle w:val="Paragraphedeliste1"/>
              <w:ind w:left="43"/>
              <w:jc w:val="both"/>
              <w:rPr>
                <w:b/>
              </w:rPr>
            </w:pPr>
            <w:r w:rsidRPr="006D09DA">
              <w:rPr>
                <w:b/>
              </w:rPr>
              <w:t>2015</w:t>
            </w:r>
          </w:p>
        </w:tc>
        <w:tc>
          <w:tcPr>
            <w:tcW w:w="300" w:type="dxa"/>
            <w:tcBorders>
              <w:top w:val="single" w:sz="4" w:space="0" w:color="auto"/>
              <w:bottom w:val="single" w:sz="4" w:space="0" w:color="auto"/>
            </w:tcBorders>
            <w:shd w:val="clear" w:color="auto" w:fill="548DD4"/>
            <w:vAlign w:val="center"/>
          </w:tcPr>
          <w:p w:rsidR="00E80814" w:rsidRPr="00E10B2A" w:rsidRDefault="00E80814" w:rsidP="00556FF7">
            <w:pPr>
              <w:ind w:left="-57"/>
              <w:rPr>
                <w:rFonts w:ascii="DejaVu Sans" w:hAnsi="DejaVu Sans" w:cs="DejaVu Sans"/>
                <w:b/>
              </w:rPr>
            </w:pPr>
            <w:r>
              <w:rPr>
                <w:b/>
              </w:rPr>
              <w:sym w:font="Monotype Sorts" w:char="F0DA"/>
            </w:r>
          </w:p>
        </w:tc>
      </w:tr>
      <w:tr w:rsidR="00E80814" w:rsidRPr="00F839E4" w:rsidTr="00DF4819">
        <w:tc>
          <w:tcPr>
            <w:tcW w:w="9701" w:type="dxa"/>
            <w:gridSpan w:val="2"/>
            <w:tcBorders>
              <w:bottom w:val="single" w:sz="4" w:space="0" w:color="auto"/>
            </w:tcBorders>
          </w:tcPr>
          <w:p w:rsidR="00E80814" w:rsidRPr="00B70BFE" w:rsidRDefault="00E80814" w:rsidP="00AE52F4">
            <w:pPr>
              <w:rPr>
                <w:sz w:val="20"/>
                <w:szCs w:val="20"/>
              </w:rPr>
            </w:pPr>
          </w:p>
          <w:p w:rsidR="00E80814" w:rsidRPr="00B70BFE" w:rsidRDefault="00E80814" w:rsidP="00B802FF">
            <w:pPr>
              <w:rPr>
                <w:b/>
                <w:sz w:val="20"/>
                <w:szCs w:val="20"/>
              </w:rPr>
            </w:pPr>
            <w:r w:rsidRPr="00B70BFE">
              <w:rPr>
                <w:b/>
                <w:sz w:val="20"/>
                <w:szCs w:val="20"/>
              </w:rPr>
              <w:t>Mesure 5.2 : Favoriser une meilleure articulation entre temps professionnels et temps personnels.</w:t>
            </w:r>
          </w:p>
          <w:p w:rsidR="00E80814" w:rsidRPr="00B70BFE" w:rsidRDefault="00E80814" w:rsidP="00430B19">
            <w:pPr>
              <w:rPr>
                <w:sz w:val="20"/>
                <w:szCs w:val="20"/>
              </w:rPr>
            </w:pPr>
            <w:r w:rsidRPr="00B70BFE">
              <w:rPr>
                <w:sz w:val="20"/>
                <w:szCs w:val="20"/>
              </w:rPr>
              <w:t>Cette mesure est en lien avec la démarche diversité.</w:t>
            </w:r>
          </w:p>
        </w:tc>
        <w:tc>
          <w:tcPr>
            <w:tcW w:w="300" w:type="dxa"/>
            <w:tcBorders>
              <w:top w:val="single" w:sz="4" w:space="0" w:color="auto"/>
              <w:bottom w:val="single" w:sz="4" w:space="0" w:color="auto"/>
            </w:tcBorders>
            <w:shd w:val="clear" w:color="auto" w:fill="auto"/>
            <w:vAlign w:val="center"/>
          </w:tcPr>
          <w:p w:rsidR="00E80814" w:rsidRPr="00E10B2A" w:rsidRDefault="00E80814" w:rsidP="00556FF7">
            <w:pPr>
              <w:ind w:left="-57"/>
              <w:rPr>
                <w:rFonts w:ascii="DejaVu Sans" w:hAnsi="DejaVu Sans" w:cs="DejaVu Sans"/>
                <w:b/>
              </w:rPr>
            </w:pPr>
          </w:p>
        </w:tc>
      </w:tr>
      <w:tr w:rsidR="00E80814" w:rsidRPr="00F839E4" w:rsidTr="00A21BE4">
        <w:tc>
          <w:tcPr>
            <w:tcW w:w="5637" w:type="dxa"/>
            <w:tcBorders>
              <w:top w:val="single" w:sz="4" w:space="0" w:color="auto"/>
            </w:tcBorders>
          </w:tcPr>
          <w:p w:rsidR="00E80814" w:rsidRDefault="00E80814" w:rsidP="00EB52C5">
            <w:pPr>
              <w:numPr>
                <w:ilvl w:val="0"/>
                <w:numId w:val="33"/>
              </w:numPr>
              <w:rPr>
                <w:sz w:val="20"/>
                <w:szCs w:val="20"/>
              </w:rPr>
            </w:pPr>
            <w:r>
              <w:rPr>
                <w:sz w:val="20"/>
                <w:szCs w:val="20"/>
              </w:rPr>
              <w:t>Mettre en œuvre une charte avec l’ensemble des directions d’administration centrale pour une diffusion souhaitée en 2015 dans l’ensemble des services</w:t>
            </w:r>
          </w:p>
        </w:tc>
        <w:tc>
          <w:tcPr>
            <w:tcW w:w="4064" w:type="dxa"/>
            <w:tcBorders>
              <w:top w:val="single" w:sz="4" w:space="0" w:color="auto"/>
            </w:tcBorders>
          </w:tcPr>
          <w:p w:rsidR="00E80814" w:rsidRPr="00B70BFE" w:rsidRDefault="00E80814" w:rsidP="00C57B97">
            <w:pPr>
              <w:rPr>
                <w:b/>
                <w:sz w:val="20"/>
                <w:szCs w:val="20"/>
              </w:rPr>
            </w:pPr>
            <w:r>
              <w:rPr>
                <w:b/>
                <w:sz w:val="20"/>
                <w:szCs w:val="20"/>
              </w:rPr>
              <w:t>2015</w:t>
            </w:r>
          </w:p>
        </w:tc>
        <w:tc>
          <w:tcPr>
            <w:tcW w:w="300" w:type="dxa"/>
            <w:tcBorders>
              <w:top w:val="single" w:sz="4" w:space="0" w:color="auto"/>
              <w:left w:val="nil"/>
              <w:bottom w:val="single" w:sz="4" w:space="0" w:color="auto"/>
              <w:right w:val="single" w:sz="4" w:space="0" w:color="auto"/>
            </w:tcBorders>
            <w:shd w:val="clear" w:color="auto" w:fill="FFC000"/>
            <w:vAlign w:val="center"/>
          </w:tcPr>
          <w:p w:rsidR="00E80814" w:rsidRPr="00E10B2A" w:rsidRDefault="00E80814" w:rsidP="00D41219">
            <w:pPr>
              <w:ind w:left="-57"/>
              <w:rPr>
                <w:rFonts w:ascii="DejaVu Sans" w:hAnsi="DejaVu Sans" w:cs="DejaVu Sans"/>
                <w:b/>
              </w:rPr>
            </w:pPr>
            <w:r w:rsidRPr="00E10B2A">
              <w:rPr>
                <w:rFonts w:ascii="DejaVu Sans" w:hAnsi="DejaVu Sans" w:cs="DejaVu Sans"/>
                <w:b/>
              </w:rPr>
              <w:t>▲</w:t>
            </w:r>
          </w:p>
        </w:tc>
      </w:tr>
      <w:tr w:rsidR="00E80814" w:rsidRPr="00F839E4" w:rsidTr="00062FF3">
        <w:tc>
          <w:tcPr>
            <w:tcW w:w="5637" w:type="dxa"/>
            <w:tcBorders>
              <w:top w:val="single" w:sz="4" w:space="0" w:color="auto"/>
            </w:tcBorders>
          </w:tcPr>
          <w:p w:rsidR="00E80814" w:rsidRDefault="00E80814" w:rsidP="001A0CB7">
            <w:pPr>
              <w:numPr>
                <w:ilvl w:val="0"/>
                <w:numId w:val="33"/>
              </w:numPr>
              <w:rPr>
                <w:sz w:val="20"/>
                <w:szCs w:val="20"/>
              </w:rPr>
            </w:pPr>
            <w:r>
              <w:rPr>
                <w:sz w:val="20"/>
                <w:szCs w:val="20"/>
              </w:rPr>
              <w:t>Mieux informer les agents sur les règles applicables et les effets en termes de retraite des choix faits en matière de congés familiaux et de temps partiel</w:t>
            </w:r>
          </w:p>
        </w:tc>
        <w:tc>
          <w:tcPr>
            <w:tcW w:w="4064" w:type="dxa"/>
            <w:tcBorders>
              <w:top w:val="single" w:sz="4" w:space="0" w:color="auto"/>
            </w:tcBorders>
          </w:tcPr>
          <w:p w:rsidR="00E80814" w:rsidRPr="008A3AA4" w:rsidRDefault="00E80814" w:rsidP="00C57B97">
            <w:pPr>
              <w:rPr>
                <w:b/>
                <w:sz w:val="20"/>
                <w:szCs w:val="20"/>
              </w:rPr>
            </w:pPr>
            <w:r w:rsidRPr="008A3AA4">
              <w:rPr>
                <w:b/>
                <w:sz w:val="20"/>
                <w:szCs w:val="20"/>
              </w:rPr>
              <w:t>2015</w:t>
            </w:r>
          </w:p>
          <w:p w:rsidR="00E80814" w:rsidRPr="008A3AA4" w:rsidRDefault="00E80814" w:rsidP="002A3EE5">
            <w:pPr>
              <w:jc w:val="both"/>
              <w:rPr>
                <w:i/>
                <w:sz w:val="18"/>
                <w:szCs w:val="18"/>
              </w:rPr>
            </w:pPr>
            <w:r w:rsidRPr="008A3AA4">
              <w:rPr>
                <w:i/>
                <w:sz w:val="18"/>
                <w:szCs w:val="18"/>
              </w:rPr>
              <w:t>Un guide commun aux trois versants de la FP sera élaboré par la DGAFP (mesure 12 du protocole d’accord)</w:t>
            </w:r>
          </w:p>
        </w:tc>
        <w:tc>
          <w:tcPr>
            <w:tcW w:w="300" w:type="dxa"/>
            <w:tcBorders>
              <w:top w:val="single" w:sz="4" w:space="0" w:color="auto"/>
              <w:left w:val="nil"/>
              <w:bottom w:val="single" w:sz="4" w:space="0" w:color="auto"/>
              <w:right w:val="single" w:sz="4" w:space="0" w:color="auto"/>
            </w:tcBorders>
            <w:shd w:val="clear" w:color="auto" w:fill="auto"/>
            <w:vAlign w:val="center"/>
          </w:tcPr>
          <w:p w:rsidR="00E80814" w:rsidRPr="00E10B2A" w:rsidRDefault="00E80814" w:rsidP="00D41219">
            <w:pPr>
              <w:ind w:left="-57"/>
              <w:rPr>
                <w:rFonts w:ascii="DejaVu Sans" w:hAnsi="DejaVu Sans" w:cs="DejaVu Sans"/>
                <w:b/>
              </w:rPr>
            </w:pPr>
          </w:p>
        </w:tc>
      </w:tr>
      <w:tr w:rsidR="00E80814" w:rsidRPr="00F839E4" w:rsidTr="00062FF3">
        <w:tc>
          <w:tcPr>
            <w:tcW w:w="5637" w:type="dxa"/>
            <w:tcBorders>
              <w:top w:val="single" w:sz="4" w:space="0" w:color="auto"/>
            </w:tcBorders>
          </w:tcPr>
          <w:p w:rsidR="00E80814" w:rsidRPr="00101EC7" w:rsidRDefault="00E80814" w:rsidP="00EC6681">
            <w:pPr>
              <w:numPr>
                <w:ilvl w:val="0"/>
                <w:numId w:val="33"/>
              </w:numPr>
              <w:rPr>
                <w:sz w:val="20"/>
                <w:szCs w:val="20"/>
              </w:rPr>
            </w:pPr>
            <w:r>
              <w:rPr>
                <w:sz w:val="20"/>
                <w:szCs w:val="20"/>
              </w:rPr>
              <w:t>Mener une réflexion sur les conditions d’assouplissement</w:t>
            </w:r>
            <w:r w:rsidRPr="0075258C">
              <w:rPr>
                <w:sz w:val="20"/>
                <w:szCs w:val="20"/>
              </w:rPr>
              <w:t xml:space="preserve"> de prise du temps partiel (</w:t>
            </w:r>
            <w:r>
              <w:rPr>
                <w:sz w:val="20"/>
                <w:szCs w:val="20"/>
              </w:rPr>
              <w:t xml:space="preserve">exemple : </w:t>
            </w:r>
            <w:r w:rsidRPr="0075258C">
              <w:rPr>
                <w:sz w:val="20"/>
                <w:szCs w:val="20"/>
              </w:rPr>
              <w:t xml:space="preserve">temps </w:t>
            </w:r>
            <w:r>
              <w:rPr>
                <w:sz w:val="20"/>
                <w:szCs w:val="20"/>
              </w:rPr>
              <w:t xml:space="preserve">partiel </w:t>
            </w:r>
            <w:r w:rsidRPr="0075258C">
              <w:rPr>
                <w:sz w:val="20"/>
                <w:szCs w:val="20"/>
              </w:rPr>
              <w:t xml:space="preserve">aménagé sur l’année avec des périodes travaillées et non travaillées, </w:t>
            </w:r>
            <w:r>
              <w:rPr>
                <w:sz w:val="20"/>
                <w:szCs w:val="20"/>
              </w:rPr>
              <w:t>temps par</w:t>
            </w:r>
            <w:r w:rsidRPr="0075258C">
              <w:rPr>
                <w:sz w:val="20"/>
                <w:szCs w:val="20"/>
              </w:rPr>
              <w:t>tiel ou horaires aménagés pendant une période donnée</w:t>
            </w:r>
            <w:r>
              <w:rPr>
                <w:sz w:val="20"/>
                <w:szCs w:val="20"/>
              </w:rPr>
              <w:t>)</w:t>
            </w:r>
          </w:p>
        </w:tc>
        <w:tc>
          <w:tcPr>
            <w:tcW w:w="4064" w:type="dxa"/>
            <w:tcBorders>
              <w:top w:val="single" w:sz="4" w:space="0" w:color="auto"/>
            </w:tcBorders>
          </w:tcPr>
          <w:p w:rsidR="00E80814" w:rsidRPr="001179D2" w:rsidRDefault="00E80814" w:rsidP="00C57B97">
            <w:pPr>
              <w:rPr>
                <w:b/>
                <w:sz w:val="20"/>
                <w:szCs w:val="20"/>
              </w:rPr>
            </w:pPr>
            <w:r>
              <w:rPr>
                <w:b/>
                <w:sz w:val="20"/>
                <w:szCs w:val="20"/>
              </w:rPr>
              <w:t>2016</w:t>
            </w:r>
          </w:p>
        </w:tc>
        <w:tc>
          <w:tcPr>
            <w:tcW w:w="300" w:type="dxa"/>
            <w:tcBorders>
              <w:top w:val="single" w:sz="4" w:space="0" w:color="auto"/>
              <w:left w:val="nil"/>
              <w:bottom w:val="single" w:sz="4" w:space="0" w:color="auto"/>
              <w:right w:val="single" w:sz="4" w:space="0" w:color="auto"/>
            </w:tcBorders>
            <w:shd w:val="clear" w:color="auto" w:fill="auto"/>
            <w:vAlign w:val="center"/>
          </w:tcPr>
          <w:p w:rsidR="00E80814" w:rsidRPr="00E10B2A" w:rsidRDefault="00E80814" w:rsidP="00D41219">
            <w:pPr>
              <w:ind w:left="-57"/>
              <w:rPr>
                <w:rFonts w:ascii="DejaVu Sans" w:hAnsi="DejaVu Sans" w:cs="DejaVu Sans"/>
                <w:b/>
              </w:rPr>
            </w:pPr>
          </w:p>
        </w:tc>
      </w:tr>
      <w:tr w:rsidR="00E80814" w:rsidRPr="00F839E4" w:rsidTr="00A8001A">
        <w:tc>
          <w:tcPr>
            <w:tcW w:w="5637" w:type="dxa"/>
            <w:tcBorders>
              <w:top w:val="single" w:sz="4" w:space="0" w:color="auto"/>
            </w:tcBorders>
          </w:tcPr>
          <w:p w:rsidR="00E80814" w:rsidRPr="0075258C" w:rsidRDefault="00E80814" w:rsidP="0032272F">
            <w:pPr>
              <w:numPr>
                <w:ilvl w:val="0"/>
                <w:numId w:val="33"/>
              </w:numPr>
              <w:rPr>
                <w:sz w:val="20"/>
                <w:szCs w:val="20"/>
              </w:rPr>
            </w:pPr>
            <w:r>
              <w:rPr>
                <w:sz w:val="20"/>
                <w:szCs w:val="20"/>
              </w:rPr>
              <w:t>Développer le télétravail et mettre en place des solutions de travail distant dans les lieux tiers</w:t>
            </w:r>
          </w:p>
        </w:tc>
        <w:tc>
          <w:tcPr>
            <w:tcW w:w="4064" w:type="dxa"/>
            <w:tcBorders>
              <w:top w:val="single" w:sz="4" w:space="0" w:color="auto"/>
            </w:tcBorders>
          </w:tcPr>
          <w:p w:rsidR="00E80814" w:rsidRDefault="00E80814" w:rsidP="00980DF9">
            <w:pPr>
              <w:rPr>
                <w:b/>
                <w:sz w:val="20"/>
                <w:szCs w:val="20"/>
              </w:rPr>
            </w:pPr>
            <w:r>
              <w:rPr>
                <w:b/>
                <w:sz w:val="20"/>
                <w:szCs w:val="20"/>
              </w:rPr>
              <w:t>2015/2016</w:t>
            </w:r>
          </w:p>
          <w:p w:rsidR="00E80814" w:rsidRPr="00980DF9" w:rsidRDefault="00E80814" w:rsidP="00980DF9">
            <w:pPr>
              <w:rPr>
                <w:sz w:val="20"/>
                <w:szCs w:val="20"/>
              </w:rPr>
            </w:pPr>
            <w:r w:rsidRPr="00980DF9">
              <w:rPr>
                <w:sz w:val="20"/>
                <w:szCs w:val="20"/>
              </w:rPr>
              <w:t>En cours de développement</w:t>
            </w:r>
          </w:p>
        </w:tc>
        <w:tc>
          <w:tcPr>
            <w:tcW w:w="300" w:type="dxa"/>
            <w:tcBorders>
              <w:top w:val="single" w:sz="4" w:space="0" w:color="auto"/>
              <w:left w:val="nil"/>
              <w:bottom w:val="single" w:sz="4" w:space="0" w:color="auto"/>
              <w:right w:val="single" w:sz="4" w:space="0" w:color="auto"/>
            </w:tcBorders>
            <w:shd w:val="clear" w:color="auto" w:fill="548DD4"/>
            <w:vAlign w:val="center"/>
          </w:tcPr>
          <w:p w:rsidR="00E80814" w:rsidRPr="00E10B2A" w:rsidRDefault="00E80814" w:rsidP="00D41219">
            <w:pPr>
              <w:ind w:left="-57"/>
              <w:rPr>
                <w:rFonts w:ascii="DejaVu Sans" w:hAnsi="DejaVu Sans" w:cs="DejaVu Sans"/>
                <w:b/>
              </w:rPr>
            </w:pPr>
            <w:r>
              <w:rPr>
                <w:b/>
              </w:rPr>
              <w:sym w:font="Monotype Sorts" w:char="F0DA"/>
            </w:r>
          </w:p>
        </w:tc>
      </w:tr>
      <w:tr w:rsidR="00E80814" w:rsidRPr="00F839E4" w:rsidTr="00062FF3">
        <w:tc>
          <w:tcPr>
            <w:tcW w:w="5637" w:type="dxa"/>
            <w:tcBorders>
              <w:top w:val="single" w:sz="4" w:space="0" w:color="auto"/>
            </w:tcBorders>
          </w:tcPr>
          <w:p w:rsidR="00E80814" w:rsidRDefault="00E80814" w:rsidP="001A0CB7">
            <w:pPr>
              <w:numPr>
                <w:ilvl w:val="0"/>
                <w:numId w:val="33"/>
              </w:numPr>
              <w:rPr>
                <w:sz w:val="20"/>
                <w:szCs w:val="20"/>
              </w:rPr>
            </w:pPr>
            <w:r>
              <w:rPr>
                <w:sz w:val="20"/>
                <w:szCs w:val="20"/>
              </w:rPr>
              <w:t>Encourager la pleine utilisation du congé de paternité et mettre en place les conditions de son suivi statistique</w:t>
            </w:r>
          </w:p>
        </w:tc>
        <w:tc>
          <w:tcPr>
            <w:tcW w:w="4064" w:type="dxa"/>
            <w:tcBorders>
              <w:top w:val="single" w:sz="4" w:space="0" w:color="auto"/>
            </w:tcBorders>
          </w:tcPr>
          <w:p w:rsidR="00E80814" w:rsidRPr="001179D2" w:rsidRDefault="00E80814" w:rsidP="00C57B97">
            <w:pPr>
              <w:rPr>
                <w:b/>
                <w:sz w:val="20"/>
                <w:szCs w:val="20"/>
              </w:rPr>
            </w:pPr>
            <w:r>
              <w:rPr>
                <w:b/>
                <w:sz w:val="20"/>
                <w:szCs w:val="20"/>
              </w:rPr>
              <w:t>2015</w:t>
            </w:r>
          </w:p>
        </w:tc>
        <w:tc>
          <w:tcPr>
            <w:tcW w:w="300" w:type="dxa"/>
            <w:tcBorders>
              <w:top w:val="single" w:sz="4" w:space="0" w:color="auto"/>
              <w:left w:val="nil"/>
              <w:bottom w:val="single" w:sz="4" w:space="0" w:color="auto"/>
              <w:right w:val="single" w:sz="4" w:space="0" w:color="auto"/>
            </w:tcBorders>
            <w:shd w:val="clear" w:color="auto" w:fill="auto"/>
            <w:vAlign w:val="center"/>
          </w:tcPr>
          <w:p w:rsidR="00E80814" w:rsidRPr="00E10B2A" w:rsidRDefault="00E80814" w:rsidP="00D41219">
            <w:pPr>
              <w:ind w:left="-57"/>
              <w:rPr>
                <w:rFonts w:ascii="DejaVu Sans" w:hAnsi="DejaVu Sans" w:cs="DejaVu Sans"/>
                <w:b/>
              </w:rPr>
            </w:pPr>
          </w:p>
        </w:tc>
      </w:tr>
      <w:tr w:rsidR="00E80814" w:rsidRPr="00F839E4" w:rsidTr="00D71F10">
        <w:tc>
          <w:tcPr>
            <w:tcW w:w="9701" w:type="dxa"/>
            <w:gridSpan w:val="2"/>
            <w:tcBorders>
              <w:bottom w:val="single" w:sz="4" w:space="0" w:color="auto"/>
            </w:tcBorders>
          </w:tcPr>
          <w:p w:rsidR="00E80814" w:rsidRPr="00CA3A88" w:rsidRDefault="00E80814" w:rsidP="00AE52F4">
            <w:pPr>
              <w:rPr>
                <w:b/>
                <w:sz w:val="20"/>
                <w:szCs w:val="20"/>
              </w:rPr>
            </w:pPr>
          </w:p>
          <w:p w:rsidR="00E80814" w:rsidRPr="00D71F10" w:rsidRDefault="00E80814" w:rsidP="00AE52F4">
            <w:pPr>
              <w:rPr>
                <w:b/>
                <w:sz w:val="20"/>
                <w:szCs w:val="20"/>
              </w:rPr>
            </w:pPr>
            <w:r w:rsidRPr="00CA3A88">
              <w:rPr>
                <w:b/>
                <w:sz w:val="20"/>
                <w:szCs w:val="20"/>
              </w:rPr>
              <w:t>Mesure 5.3 : Limiter l’impact de la durée des formations et de leur localisation géographique sur la situation des agents connaissant les plus fortes contraintes</w:t>
            </w:r>
          </w:p>
        </w:tc>
        <w:tc>
          <w:tcPr>
            <w:tcW w:w="300" w:type="dxa"/>
            <w:tcBorders>
              <w:top w:val="single" w:sz="4" w:space="0" w:color="auto"/>
              <w:left w:val="nil"/>
              <w:bottom w:val="single" w:sz="4" w:space="0" w:color="auto"/>
              <w:right w:val="single" w:sz="4" w:space="0" w:color="auto"/>
            </w:tcBorders>
            <w:vAlign w:val="center"/>
          </w:tcPr>
          <w:p w:rsidR="00E80814" w:rsidRPr="00E10B2A" w:rsidRDefault="00E80814" w:rsidP="00D41219">
            <w:pPr>
              <w:ind w:left="-57"/>
              <w:rPr>
                <w:rFonts w:ascii="DejaVu Sans" w:hAnsi="DejaVu Sans" w:cs="DejaVu Sans"/>
                <w:b/>
              </w:rPr>
            </w:pPr>
          </w:p>
        </w:tc>
      </w:tr>
      <w:tr w:rsidR="00E80814" w:rsidRPr="00F839E4" w:rsidTr="00A8001A">
        <w:tc>
          <w:tcPr>
            <w:tcW w:w="5637" w:type="dxa"/>
            <w:tcBorders>
              <w:bottom w:val="single" w:sz="4" w:space="0" w:color="auto"/>
            </w:tcBorders>
          </w:tcPr>
          <w:p w:rsidR="00E80814" w:rsidRDefault="00E80814" w:rsidP="00FF22CC">
            <w:pPr>
              <w:numPr>
                <w:ilvl w:val="0"/>
                <w:numId w:val="33"/>
              </w:numPr>
              <w:jc w:val="both"/>
              <w:rPr>
                <w:sz w:val="20"/>
                <w:szCs w:val="20"/>
              </w:rPr>
            </w:pPr>
            <w:r>
              <w:rPr>
                <w:sz w:val="20"/>
                <w:szCs w:val="20"/>
              </w:rPr>
              <w:t>Rendre la formation plus accessible en tenant compte des contraintes familiales : des actions doivent être développées afin de favoriser la formation de proximité, la formation à distance et en évitant le mercredi dans toute la mesure possible. Ces orientations doivent s’appliquer aux actions de formations continues comme à la préparation aux concours</w:t>
            </w:r>
          </w:p>
        </w:tc>
        <w:tc>
          <w:tcPr>
            <w:tcW w:w="4064" w:type="dxa"/>
            <w:tcBorders>
              <w:bottom w:val="single" w:sz="4" w:space="0" w:color="auto"/>
            </w:tcBorders>
          </w:tcPr>
          <w:p w:rsidR="00E80814" w:rsidRPr="0048745A" w:rsidRDefault="00E80814" w:rsidP="00AE52F4">
            <w:pPr>
              <w:rPr>
                <w:b/>
                <w:sz w:val="20"/>
                <w:szCs w:val="20"/>
              </w:rPr>
            </w:pPr>
            <w:r w:rsidRPr="0048745A">
              <w:rPr>
                <w:b/>
                <w:sz w:val="20"/>
                <w:szCs w:val="20"/>
              </w:rPr>
              <w:t>2016</w:t>
            </w:r>
          </w:p>
        </w:tc>
        <w:tc>
          <w:tcPr>
            <w:tcW w:w="300" w:type="dxa"/>
            <w:tcBorders>
              <w:top w:val="single" w:sz="4" w:space="0" w:color="auto"/>
              <w:left w:val="nil"/>
              <w:bottom w:val="single" w:sz="4" w:space="0" w:color="auto"/>
              <w:right w:val="single" w:sz="4" w:space="0" w:color="auto"/>
            </w:tcBorders>
            <w:shd w:val="clear" w:color="auto" w:fill="FFFFCC"/>
            <w:vAlign w:val="center"/>
          </w:tcPr>
          <w:p w:rsidR="00E80814" w:rsidRPr="00E10B2A" w:rsidRDefault="00E80814" w:rsidP="00440C8C">
            <w:pPr>
              <w:ind w:left="-57"/>
              <w:rPr>
                <w:rFonts w:ascii="DejaVu Sans" w:hAnsi="DejaVu Sans" w:cs="DejaVu Sans"/>
                <w:b/>
              </w:rPr>
            </w:pPr>
            <w:r>
              <w:rPr>
                <w:b/>
              </w:rPr>
              <w:sym w:font="Monotype Sorts" w:char="F050"/>
            </w:r>
          </w:p>
        </w:tc>
      </w:tr>
      <w:tr w:rsidR="00E80814" w:rsidRPr="00F839E4" w:rsidTr="009F1D63">
        <w:tc>
          <w:tcPr>
            <w:tcW w:w="5637" w:type="dxa"/>
            <w:tcBorders>
              <w:left w:val="nil"/>
              <w:bottom w:val="single" w:sz="24" w:space="0" w:color="800000"/>
              <w:right w:val="nil"/>
            </w:tcBorders>
          </w:tcPr>
          <w:p w:rsidR="00E80814" w:rsidRDefault="00E80814" w:rsidP="00AE52F4">
            <w:pPr>
              <w:rPr>
                <w:b/>
                <w:sz w:val="18"/>
                <w:szCs w:val="18"/>
              </w:rPr>
            </w:pPr>
          </w:p>
        </w:tc>
        <w:tc>
          <w:tcPr>
            <w:tcW w:w="4064" w:type="dxa"/>
            <w:tcBorders>
              <w:left w:val="nil"/>
              <w:bottom w:val="single" w:sz="24" w:space="0" w:color="800000"/>
              <w:right w:val="nil"/>
            </w:tcBorders>
          </w:tcPr>
          <w:p w:rsidR="00E80814" w:rsidRPr="00F839E4" w:rsidRDefault="00E80814" w:rsidP="00AE52F4">
            <w:pPr>
              <w:rPr>
                <w:b/>
                <w:sz w:val="18"/>
                <w:szCs w:val="18"/>
              </w:rPr>
            </w:pPr>
          </w:p>
        </w:tc>
        <w:tc>
          <w:tcPr>
            <w:tcW w:w="300" w:type="dxa"/>
            <w:tcBorders>
              <w:bottom w:val="single" w:sz="4" w:space="0" w:color="auto"/>
            </w:tcBorders>
            <w:shd w:val="clear" w:color="auto" w:fill="auto"/>
            <w:vAlign w:val="center"/>
          </w:tcPr>
          <w:p w:rsidR="00E80814" w:rsidRPr="00E10B2A" w:rsidRDefault="00E80814" w:rsidP="00556FF7">
            <w:pPr>
              <w:ind w:left="-57"/>
              <w:rPr>
                <w:rFonts w:ascii="DejaVu Sans" w:hAnsi="DejaVu Sans" w:cs="DejaVu Sans"/>
                <w:b/>
              </w:rPr>
            </w:pPr>
          </w:p>
        </w:tc>
      </w:tr>
      <w:tr w:rsidR="00E80814" w:rsidRPr="00F839E4" w:rsidTr="009F1D63">
        <w:tc>
          <w:tcPr>
            <w:tcW w:w="5637" w:type="dxa"/>
            <w:tcBorders>
              <w:top w:val="single" w:sz="24" w:space="0" w:color="800000"/>
              <w:left w:val="nil"/>
              <w:right w:val="nil"/>
            </w:tcBorders>
          </w:tcPr>
          <w:p w:rsidR="00E80814" w:rsidRDefault="00E80814" w:rsidP="00AE52F4">
            <w:pPr>
              <w:rPr>
                <w:b/>
                <w:sz w:val="18"/>
                <w:szCs w:val="18"/>
              </w:rPr>
            </w:pPr>
          </w:p>
          <w:p w:rsidR="00E80814" w:rsidRDefault="00E80814" w:rsidP="00AE52F4">
            <w:pPr>
              <w:rPr>
                <w:b/>
                <w:sz w:val="18"/>
                <w:szCs w:val="18"/>
              </w:rPr>
            </w:pPr>
          </w:p>
          <w:p w:rsidR="00E80814" w:rsidRDefault="00E80814" w:rsidP="00AE52F4">
            <w:pPr>
              <w:rPr>
                <w:b/>
                <w:sz w:val="18"/>
                <w:szCs w:val="18"/>
              </w:rPr>
            </w:pPr>
          </w:p>
          <w:p w:rsidR="00E80814" w:rsidRDefault="00E80814" w:rsidP="00AE52F4">
            <w:pPr>
              <w:rPr>
                <w:b/>
                <w:sz w:val="18"/>
                <w:szCs w:val="18"/>
              </w:rPr>
            </w:pPr>
          </w:p>
          <w:p w:rsidR="00E80814" w:rsidRDefault="00E80814" w:rsidP="00AE52F4">
            <w:pPr>
              <w:rPr>
                <w:b/>
                <w:sz w:val="18"/>
                <w:szCs w:val="18"/>
              </w:rPr>
            </w:pPr>
            <w:r>
              <w:rPr>
                <w:b/>
                <w:noProof/>
                <w:sz w:val="18"/>
                <w:szCs w:val="18"/>
                <w:lang w:eastAsia="fr-FR"/>
              </w:rPr>
              <w:drawing>
                <wp:inline distT="0" distB="0" distL="0" distR="0">
                  <wp:extent cx="771525" cy="857250"/>
                  <wp:effectExtent l="0" t="0" r="9525" b="0"/>
                  <wp:docPr id="9" name="Image 7" descr="MC900441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41890[1]"/>
                          <pic:cNvPicPr>
                            <a:picLocks noChangeAspect="1" noChangeArrowheads="1"/>
                          </pic:cNvPicPr>
                        </pic:nvPicPr>
                        <pic:blipFill>
                          <a:blip r:embed="rId13" cstate="print"/>
                          <a:srcRect/>
                          <a:stretch>
                            <a:fillRect/>
                          </a:stretch>
                        </pic:blipFill>
                        <pic:spPr bwMode="auto">
                          <a:xfrm>
                            <a:off x="0" y="0"/>
                            <a:ext cx="771525" cy="857250"/>
                          </a:xfrm>
                          <a:prstGeom prst="rect">
                            <a:avLst/>
                          </a:prstGeom>
                          <a:noFill/>
                          <a:ln w="9525">
                            <a:noFill/>
                            <a:miter lim="800000"/>
                            <a:headEnd/>
                            <a:tailEnd/>
                          </a:ln>
                        </pic:spPr>
                      </pic:pic>
                    </a:graphicData>
                  </a:graphic>
                </wp:inline>
              </w:drawing>
            </w:r>
          </w:p>
          <w:p w:rsidR="00E80814" w:rsidRPr="00982566" w:rsidRDefault="00E80814" w:rsidP="00AE52F4">
            <w:pPr>
              <w:rPr>
                <w:b/>
                <w:sz w:val="20"/>
                <w:szCs w:val="20"/>
              </w:rPr>
            </w:pPr>
          </w:p>
        </w:tc>
        <w:tc>
          <w:tcPr>
            <w:tcW w:w="4064" w:type="dxa"/>
            <w:tcBorders>
              <w:top w:val="single" w:sz="24" w:space="0" w:color="800000"/>
              <w:left w:val="nil"/>
              <w:right w:val="nil"/>
            </w:tcBorders>
            <w:vAlign w:val="center"/>
          </w:tcPr>
          <w:p w:rsidR="00E80814" w:rsidRDefault="00E80814" w:rsidP="00382F40">
            <w:pPr>
              <w:ind w:left="1943"/>
              <w:jc w:val="right"/>
              <w:rPr>
                <w:rFonts w:ascii="Arial" w:hAnsi="Arial" w:cs="Arial"/>
                <w:b/>
                <w:sz w:val="22"/>
                <w:szCs w:val="22"/>
              </w:rPr>
            </w:pPr>
          </w:p>
          <w:p w:rsidR="00E80814" w:rsidRPr="006F30E9" w:rsidRDefault="00E80814" w:rsidP="00382F40">
            <w:pPr>
              <w:ind w:left="1943"/>
              <w:jc w:val="right"/>
              <w:rPr>
                <w:rFonts w:ascii="Arial" w:hAnsi="Arial" w:cs="Arial"/>
                <w:b/>
                <w:sz w:val="22"/>
                <w:szCs w:val="22"/>
              </w:rPr>
            </w:pPr>
            <w:r w:rsidRPr="006F30E9">
              <w:rPr>
                <w:rFonts w:ascii="Arial" w:hAnsi="Arial" w:cs="Arial"/>
                <w:b/>
                <w:sz w:val="22"/>
                <w:szCs w:val="22"/>
              </w:rPr>
              <w:t>Thème VI – Mesures relatives  aux parcours professio</w:t>
            </w:r>
            <w:r>
              <w:rPr>
                <w:rFonts w:ascii="Arial" w:hAnsi="Arial" w:cs="Arial"/>
                <w:b/>
                <w:sz w:val="22"/>
                <w:szCs w:val="22"/>
              </w:rPr>
              <w:t>nnels : promotions et mobilités</w:t>
            </w:r>
          </w:p>
        </w:tc>
        <w:tc>
          <w:tcPr>
            <w:tcW w:w="300" w:type="dxa"/>
            <w:tcBorders>
              <w:bottom w:val="single" w:sz="4" w:space="0" w:color="auto"/>
            </w:tcBorders>
            <w:shd w:val="clear" w:color="auto" w:fill="auto"/>
            <w:vAlign w:val="center"/>
          </w:tcPr>
          <w:p w:rsidR="00E80814" w:rsidRPr="00E10B2A" w:rsidRDefault="00E80814" w:rsidP="00577575">
            <w:pPr>
              <w:ind w:left="-57"/>
              <w:rPr>
                <w:rFonts w:ascii="DejaVu Sans" w:hAnsi="DejaVu Sans" w:cs="DejaVu Sans"/>
                <w:b/>
              </w:rPr>
            </w:pPr>
          </w:p>
        </w:tc>
      </w:tr>
      <w:tr w:rsidR="00E80814" w:rsidRPr="00F839E4" w:rsidTr="009F1D63">
        <w:tc>
          <w:tcPr>
            <w:tcW w:w="9701" w:type="dxa"/>
            <w:gridSpan w:val="2"/>
          </w:tcPr>
          <w:p w:rsidR="00E80814" w:rsidRDefault="00E80814" w:rsidP="00AE52F4">
            <w:pPr>
              <w:rPr>
                <w:sz w:val="20"/>
                <w:szCs w:val="20"/>
              </w:rPr>
            </w:pPr>
          </w:p>
          <w:p w:rsidR="00E80814" w:rsidRPr="00D71F10" w:rsidRDefault="00E80814" w:rsidP="00AE52F4">
            <w:pPr>
              <w:rPr>
                <w:b/>
                <w:sz w:val="20"/>
                <w:szCs w:val="20"/>
              </w:rPr>
            </w:pPr>
            <w:r w:rsidRPr="00CA3A88">
              <w:rPr>
                <w:b/>
                <w:sz w:val="20"/>
                <w:szCs w:val="20"/>
              </w:rPr>
              <w:t>Mesure 6.1 : Veiller à ce que les conditions d’exercice de la mobilité, les critères et les procédures de promotion ne défavorisent aucun agent.</w:t>
            </w:r>
          </w:p>
        </w:tc>
        <w:tc>
          <w:tcPr>
            <w:tcW w:w="300" w:type="dxa"/>
            <w:tcBorders>
              <w:bottom w:val="single" w:sz="4" w:space="0" w:color="auto"/>
            </w:tcBorders>
            <w:shd w:val="clear" w:color="auto" w:fill="auto"/>
            <w:vAlign w:val="center"/>
          </w:tcPr>
          <w:p w:rsidR="00E80814" w:rsidRPr="00E10B2A" w:rsidRDefault="00E80814" w:rsidP="00556FF7">
            <w:pPr>
              <w:ind w:left="-57"/>
              <w:rPr>
                <w:rFonts w:ascii="DejaVu Sans" w:hAnsi="DejaVu Sans" w:cs="DejaVu Sans"/>
                <w:b/>
              </w:rPr>
            </w:pPr>
          </w:p>
        </w:tc>
      </w:tr>
      <w:tr w:rsidR="00E80814" w:rsidRPr="00F839E4" w:rsidTr="00A8001A">
        <w:tc>
          <w:tcPr>
            <w:tcW w:w="5637" w:type="dxa"/>
          </w:tcPr>
          <w:p w:rsidR="00E80814" w:rsidRDefault="00E80814" w:rsidP="00AC1F07">
            <w:pPr>
              <w:rPr>
                <w:sz w:val="20"/>
                <w:szCs w:val="20"/>
              </w:rPr>
            </w:pPr>
            <w:r>
              <w:rPr>
                <w:sz w:val="20"/>
                <w:szCs w:val="20"/>
              </w:rPr>
              <w:t>Procédure d’examen des candidatures à une promotion ou mobilité :</w:t>
            </w:r>
          </w:p>
          <w:p w:rsidR="00E80814" w:rsidRDefault="00E80814" w:rsidP="0074662F">
            <w:pPr>
              <w:numPr>
                <w:ilvl w:val="0"/>
                <w:numId w:val="33"/>
              </w:numPr>
              <w:rPr>
                <w:sz w:val="20"/>
                <w:szCs w:val="20"/>
              </w:rPr>
            </w:pPr>
            <w:r>
              <w:rPr>
                <w:sz w:val="20"/>
                <w:szCs w:val="20"/>
              </w:rPr>
              <w:t>Rédiger une note procédure fixant des règles objectives et transparentes portant notamment sur le fonctionnement des revues des cadres,  les différents viviers gérés et leurs caractéristiques, l’existence de plans de relève sur les postes clés</w:t>
            </w:r>
          </w:p>
          <w:p w:rsidR="00E80814" w:rsidRDefault="00E80814" w:rsidP="00246AC3">
            <w:pPr>
              <w:numPr>
                <w:ilvl w:val="0"/>
                <w:numId w:val="33"/>
              </w:numPr>
              <w:rPr>
                <w:sz w:val="20"/>
                <w:szCs w:val="20"/>
              </w:rPr>
            </w:pPr>
            <w:r>
              <w:rPr>
                <w:sz w:val="20"/>
                <w:szCs w:val="20"/>
              </w:rPr>
              <w:t>Systématiser le recours à une grille d’analyse</w:t>
            </w:r>
          </w:p>
          <w:p w:rsidR="00E80814" w:rsidRPr="00246AC3" w:rsidRDefault="00E80814" w:rsidP="00246AC3">
            <w:pPr>
              <w:numPr>
                <w:ilvl w:val="0"/>
                <w:numId w:val="33"/>
              </w:numPr>
              <w:rPr>
                <w:sz w:val="20"/>
                <w:szCs w:val="20"/>
              </w:rPr>
            </w:pPr>
            <w:r>
              <w:rPr>
                <w:sz w:val="20"/>
                <w:szCs w:val="20"/>
              </w:rPr>
              <w:t>Privilégier le recours à un groupe de personnes pour examiner les candidatures</w:t>
            </w:r>
          </w:p>
        </w:tc>
        <w:tc>
          <w:tcPr>
            <w:tcW w:w="4064" w:type="dxa"/>
          </w:tcPr>
          <w:p w:rsidR="00E80814" w:rsidRDefault="00E80814" w:rsidP="00980DF9">
            <w:pPr>
              <w:rPr>
                <w:b/>
                <w:sz w:val="20"/>
                <w:szCs w:val="20"/>
              </w:rPr>
            </w:pPr>
            <w:r w:rsidRPr="0048745A">
              <w:rPr>
                <w:b/>
                <w:sz w:val="20"/>
                <w:szCs w:val="20"/>
              </w:rPr>
              <w:t>2015</w:t>
            </w:r>
          </w:p>
          <w:p w:rsidR="00E80814" w:rsidRPr="00980DF9" w:rsidRDefault="00E80814" w:rsidP="00980DF9">
            <w:pPr>
              <w:rPr>
                <w:sz w:val="20"/>
                <w:szCs w:val="20"/>
              </w:rPr>
            </w:pPr>
            <w:r w:rsidRPr="00980DF9">
              <w:rPr>
                <w:sz w:val="20"/>
                <w:szCs w:val="20"/>
              </w:rPr>
              <w:t>Le Secrétariat général souhaite ouvrir un chantier en ce domaine</w:t>
            </w:r>
          </w:p>
        </w:tc>
        <w:tc>
          <w:tcPr>
            <w:tcW w:w="300" w:type="dxa"/>
            <w:tcBorders>
              <w:bottom w:val="single" w:sz="4" w:space="0" w:color="auto"/>
            </w:tcBorders>
            <w:shd w:val="clear" w:color="auto" w:fill="FFFFCC"/>
            <w:vAlign w:val="center"/>
          </w:tcPr>
          <w:p w:rsidR="00E80814" w:rsidRPr="00E10B2A" w:rsidRDefault="00E80814" w:rsidP="00556FF7">
            <w:pPr>
              <w:ind w:left="-57"/>
              <w:rPr>
                <w:rFonts w:ascii="DejaVu Sans" w:hAnsi="DejaVu Sans" w:cs="DejaVu Sans"/>
                <w:b/>
              </w:rPr>
            </w:pPr>
            <w:r>
              <w:rPr>
                <w:b/>
              </w:rPr>
              <w:sym w:font="Monotype Sorts" w:char="F050"/>
            </w:r>
          </w:p>
        </w:tc>
      </w:tr>
      <w:tr w:rsidR="00E80814" w:rsidRPr="00F839E4" w:rsidTr="00951BF9">
        <w:tc>
          <w:tcPr>
            <w:tcW w:w="5637" w:type="dxa"/>
          </w:tcPr>
          <w:p w:rsidR="00E80814" w:rsidRDefault="00E80814" w:rsidP="009A7AC6">
            <w:pPr>
              <w:numPr>
                <w:ilvl w:val="0"/>
                <w:numId w:val="33"/>
              </w:numPr>
              <w:rPr>
                <w:sz w:val="20"/>
                <w:szCs w:val="20"/>
              </w:rPr>
            </w:pPr>
            <w:r>
              <w:rPr>
                <w:sz w:val="20"/>
                <w:szCs w:val="20"/>
              </w:rPr>
              <w:t>Encourager les candidatures féminines par la mobilisation des responsables hiérarchiques (notamment dans le cadre de l’entretien professionnel annuel) et des conseillers mobilité carrière</w:t>
            </w:r>
          </w:p>
        </w:tc>
        <w:tc>
          <w:tcPr>
            <w:tcW w:w="4064" w:type="dxa"/>
          </w:tcPr>
          <w:p w:rsidR="00E80814" w:rsidRPr="0048745A" w:rsidRDefault="00E80814" w:rsidP="00AE52F4">
            <w:pPr>
              <w:rPr>
                <w:b/>
                <w:sz w:val="20"/>
                <w:szCs w:val="20"/>
              </w:rPr>
            </w:pPr>
            <w:r w:rsidRPr="0048745A">
              <w:rPr>
                <w:b/>
                <w:sz w:val="20"/>
                <w:szCs w:val="20"/>
              </w:rPr>
              <w:t>2015</w:t>
            </w:r>
          </w:p>
        </w:tc>
        <w:tc>
          <w:tcPr>
            <w:tcW w:w="300" w:type="dxa"/>
            <w:tcBorders>
              <w:bottom w:val="single" w:sz="4" w:space="0" w:color="auto"/>
            </w:tcBorders>
            <w:shd w:val="clear" w:color="auto" w:fill="auto"/>
            <w:vAlign w:val="center"/>
          </w:tcPr>
          <w:p w:rsidR="00E80814" w:rsidRPr="00E10B2A" w:rsidRDefault="00E80814" w:rsidP="00556FF7">
            <w:pPr>
              <w:ind w:left="-57"/>
              <w:rPr>
                <w:rFonts w:ascii="DejaVu Sans" w:hAnsi="DejaVu Sans" w:cs="DejaVu Sans"/>
                <w:b/>
              </w:rPr>
            </w:pPr>
          </w:p>
        </w:tc>
      </w:tr>
      <w:tr w:rsidR="00E80814" w:rsidRPr="00F839E4" w:rsidTr="009F1D63">
        <w:tc>
          <w:tcPr>
            <w:tcW w:w="9701" w:type="dxa"/>
            <w:gridSpan w:val="2"/>
            <w:tcBorders>
              <w:bottom w:val="single" w:sz="4" w:space="0" w:color="auto"/>
            </w:tcBorders>
          </w:tcPr>
          <w:p w:rsidR="00E80814" w:rsidRDefault="00E80814" w:rsidP="00AE52F4">
            <w:pPr>
              <w:rPr>
                <w:sz w:val="20"/>
                <w:szCs w:val="20"/>
              </w:rPr>
            </w:pPr>
          </w:p>
          <w:p w:rsidR="00E80814" w:rsidRPr="00D71F10" w:rsidRDefault="00E80814" w:rsidP="00777EBE">
            <w:pPr>
              <w:rPr>
                <w:b/>
                <w:sz w:val="20"/>
                <w:szCs w:val="20"/>
              </w:rPr>
            </w:pPr>
            <w:r w:rsidRPr="00777EBE">
              <w:rPr>
                <w:b/>
                <w:sz w:val="20"/>
                <w:szCs w:val="20"/>
              </w:rPr>
              <w:t xml:space="preserve">Mesure 6.2 : Mettre en œuvre le décret n° 2012-601 du 30 avril 2012 relatif aux modalités de nominations équilibrées dans l’encadrement supérieur de la fonction publique pour favoriser un accès égal des deux sexes aux emplois d’encadrement </w:t>
            </w:r>
            <w:r w:rsidR="00CD526C" w:rsidRPr="00CD526C">
              <w:rPr>
                <w:sz w:val="20"/>
                <w:szCs w:val="20"/>
              </w:rPr>
              <w:t>(la mesure s’applique à compter de 2013</w:t>
            </w:r>
            <w:r w:rsidR="00CD526C">
              <w:rPr>
                <w:sz w:val="20"/>
                <w:szCs w:val="20"/>
              </w:rPr>
              <w:t>. Le taux minimum exigible de nominations de chaque sexe est de 20 % en 2013 et 2014.</w:t>
            </w:r>
            <w:r w:rsidR="00CD526C" w:rsidRPr="00CD526C">
              <w:rPr>
                <w:sz w:val="20"/>
                <w:szCs w:val="20"/>
              </w:rPr>
              <w:t>)</w:t>
            </w:r>
          </w:p>
        </w:tc>
        <w:tc>
          <w:tcPr>
            <w:tcW w:w="300" w:type="dxa"/>
            <w:tcBorders>
              <w:bottom w:val="single" w:sz="4" w:space="0" w:color="auto"/>
            </w:tcBorders>
            <w:shd w:val="clear" w:color="auto" w:fill="auto"/>
            <w:vAlign w:val="center"/>
          </w:tcPr>
          <w:p w:rsidR="00E80814" w:rsidRPr="00E10B2A" w:rsidRDefault="00E80814" w:rsidP="00577575">
            <w:pPr>
              <w:ind w:left="-57"/>
              <w:rPr>
                <w:rFonts w:ascii="DejaVu Sans" w:hAnsi="DejaVu Sans" w:cs="DejaVu Sans"/>
                <w:b/>
              </w:rPr>
            </w:pPr>
          </w:p>
        </w:tc>
      </w:tr>
      <w:tr w:rsidR="00E80814" w:rsidRPr="00F839E4" w:rsidTr="00817ACB">
        <w:tc>
          <w:tcPr>
            <w:tcW w:w="5637" w:type="dxa"/>
            <w:tcBorders>
              <w:top w:val="nil"/>
            </w:tcBorders>
          </w:tcPr>
          <w:p w:rsidR="00E80814" w:rsidRPr="00D71F10" w:rsidRDefault="00E80814" w:rsidP="001D7E45">
            <w:pPr>
              <w:pStyle w:val="Paragraphedeliste1"/>
              <w:numPr>
                <w:ilvl w:val="0"/>
                <w:numId w:val="42"/>
              </w:numPr>
              <w:jc w:val="both"/>
            </w:pPr>
            <w:r>
              <w:t xml:space="preserve">Maintenir au moins le taux réalisé en 2013 dans les services centraux. </w:t>
            </w:r>
          </w:p>
        </w:tc>
        <w:tc>
          <w:tcPr>
            <w:tcW w:w="4064" w:type="dxa"/>
            <w:tcBorders>
              <w:top w:val="nil"/>
            </w:tcBorders>
          </w:tcPr>
          <w:p w:rsidR="00CD526C" w:rsidRDefault="00CF62E3" w:rsidP="002A3EE5">
            <w:pPr>
              <w:jc w:val="both"/>
              <w:rPr>
                <w:sz w:val="20"/>
                <w:szCs w:val="20"/>
              </w:rPr>
            </w:pPr>
            <w:r>
              <w:rPr>
                <w:sz w:val="20"/>
                <w:szCs w:val="20"/>
              </w:rPr>
              <w:t>En 2013 la proportion de femmes en AC a atteint 29 %, dont :</w:t>
            </w:r>
          </w:p>
          <w:p w:rsidR="00CF62E3" w:rsidRDefault="00CF62E3" w:rsidP="002A3EE5">
            <w:pPr>
              <w:pStyle w:val="Paragraphedeliste"/>
              <w:numPr>
                <w:ilvl w:val="0"/>
                <w:numId w:val="47"/>
              </w:numPr>
              <w:jc w:val="both"/>
              <w:rPr>
                <w:sz w:val="20"/>
                <w:szCs w:val="20"/>
              </w:rPr>
            </w:pPr>
            <w:r>
              <w:rPr>
                <w:sz w:val="20"/>
                <w:szCs w:val="20"/>
              </w:rPr>
              <w:t>Emploi de direction : 0 %</w:t>
            </w:r>
          </w:p>
          <w:p w:rsidR="00CF62E3" w:rsidRPr="00CF62E3" w:rsidRDefault="00CF62E3" w:rsidP="002A3EE5">
            <w:pPr>
              <w:pStyle w:val="Paragraphedeliste"/>
              <w:numPr>
                <w:ilvl w:val="0"/>
                <w:numId w:val="47"/>
              </w:numPr>
              <w:jc w:val="both"/>
              <w:rPr>
                <w:sz w:val="20"/>
                <w:szCs w:val="20"/>
              </w:rPr>
            </w:pPr>
            <w:r>
              <w:rPr>
                <w:sz w:val="20"/>
                <w:szCs w:val="20"/>
              </w:rPr>
              <w:t>- encadrement supérieur : 36 %</w:t>
            </w:r>
          </w:p>
          <w:p w:rsidR="00E80814" w:rsidRPr="00817ACB" w:rsidRDefault="00E80814" w:rsidP="002A3EE5">
            <w:pPr>
              <w:jc w:val="both"/>
              <w:rPr>
                <w:sz w:val="20"/>
                <w:szCs w:val="20"/>
              </w:rPr>
            </w:pPr>
          </w:p>
        </w:tc>
        <w:tc>
          <w:tcPr>
            <w:tcW w:w="300" w:type="dxa"/>
            <w:tcBorders>
              <w:bottom w:val="single" w:sz="4" w:space="0" w:color="auto"/>
            </w:tcBorders>
            <w:shd w:val="clear" w:color="auto" w:fill="00B050"/>
            <w:vAlign w:val="center"/>
          </w:tcPr>
          <w:p w:rsidR="00E80814" w:rsidRPr="00E10B2A" w:rsidRDefault="00817ACB" w:rsidP="00577575">
            <w:pPr>
              <w:ind w:left="-57"/>
              <w:rPr>
                <w:rFonts w:ascii="DejaVu Sans" w:hAnsi="DejaVu Sans" w:cs="DejaVu Sans"/>
                <w:b/>
              </w:rPr>
            </w:pPr>
            <w:r w:rsidRPr="00E10B2A">
              <w:rPr>
                <w:rFonts w:ascii="DejaVu Sans" w:hAnsi="DejaVu Sans" w:cs="DejaVu Sans"/>
                <w:b/>
              </w:rPr>
              <w:t>●</w:t>
            </w:r>
          </w:p>
        </w:tc>
      </w:tr>
      <w:tr w:rsidR="00E80814" w:rsidRPr="00F839E4" w:rsidTr="00817ACB">
        <w:tc>
          <w:tcPr>
            <w:tcW w:w="5637" w:type="dxa"/>
            <w:tcBorders>
              <w:top w:val="nil"/>
            </w:tcBorders>
          </w:tcPr>
          <w:p w:rsidR="00E80814" w:rsidRPr="00D71F10" w:rsidRDefault="00E80814" w:rsidP="00EC2182">
            <w:pPr>
              <w:pStyle w:val="Paragraphedeliste1"/>
              <w:numPr>
                <w:ilvl w:val="0"/>
                <w:numId w:val="42"/>
              </w:numPr>
              <w:jc w:val="both"/>
            </w:pPr>
            <w:r>
              <w:t xml:space="preserve">Améliorer le taux réalisé en 2013 dans les services déconcentrés </w:t>
            </w:r>
          </w:p>
        </w:tc>
        <w:tc>
          <w:tcPr>
            <w:tcW w:w="4064" w:type="dxa"/>
            <w:tcBorders>
              <w:top w:val="nil"/>
            </w:tcBorders>
          </w:tcPr>
          <w:p w:rsidR="00E27F6C" w:rsidRDefault="00E27F6C" w:rsidP="002A3EE5">
            <w:pPr>
              <w:jc w:val="both"/>
              <w:rPr>
                <w:sz w:val="20"/>
                <w:szCs w:val="20"/>
              </w:rPr>
            </w:pPr>
            <w:r>
              <w:rPr>
                <w:sz w:val="20"/>
                <w:szCs w:val="20"/>
              </w:rPr>
              <w:t>En 2013 la proportion de femmes en SD a atteint 41 % dont :</w:t>
            </w:r>
          </w:p>
          <w:p w:rsidR="00E27F6C" w:rsidRDefault="00E27F6C" w:rsidP="002A3EE5">
            <w:pPr>
              <w:jc w:val="both"/>
              <w:rPr>
                <w:sz w:val="20"/>
                <w:szCs w:val="20"/>
              </w:rPr>
            </w:pPr>
            <w:r>
              <w:rPr>
                <w:sz w:val="20"/>
                <w:szCs w:val="20"/>
              </w:rPr>
              <w:t>-encadrement supérieur en DRJSCS et DJSCS : 50 %</w:t>
            </w:r>
          </w:p>
          <w:p w:rsidR="00E27F6C" w:rsidRDefault="00E27F6C" w:rsidP="002A3EE5">
            <w:pPr>
              <w:jc w:val="both"/>
              <w:rPr>
                <w:sz w:val="20"/>
                <w:szCs w:val="20"/>
              </w:rPr>
            </w:pPr>
            <w:r>
              <w:rPr>
                <w:sz w:val="20"/>
                <w:szCs w:val="20"/>
              </w:rPr>
              <w:t>-encadrement supérieur en DIRECCTE et DIECCTE : 38 %</w:t>
            </w:r>
          </w:p>
          <w:p w:rsidR="00E80814" w:rsidRDefault="00E80814" w:rsidP="002A3EE5">
            <w:pPr>
              <w:jc w:val="both"/>
              <w:rPr>
                <w:b/>
                <w:sz w:val="20"/>
                <w:szCs w:val="20"/>
              </w:rPr>
            </w:pPr>
          </w:p>
          <w:p w:rsidR="008753A2" w:rsidRDefault="008753A2" w:rsidP="008753A2">
            <w:pPr>
              <w:jc w:val="both"/>
              <w:rPr>
                <w:sz w:val="20"/>
                <w:szCs w:val="20"/>
              </w:rPr>
            </w:pPr>
            <w:r>
              <w:rPr>
                <w:b/>
                <w:sz w:val="20"/>
                <w:szCs w:val="20"/>
              </w:rPr>
              <w:t xml:space="preserve">En 2013, </w:t>
            </w:r>
            <w:r>
              <w:rPr>
                <w:sz w:val="20"/>
                <w:szCs w:val="20"/>
              </w:rPr>
              <w:t>le taux global, tous services confondus (AC et SD), de primo-nominations est de</w:t>
            </w:r>
            <w:r>
              <w:rPr>
                <w:b/>
                <w:sz w:val="20"/>
                <w:szCs w:val="20"/>
              </w:rPr>
              <w:t xml:space="preserve"> 33 %</w:t>
            </w:r>
          </w:p>
          <w:p w:rsidR="009157CE" w:rsidRPr="00C62FE7" w:rsidRDefault="008753A2" w:rsidP="008753A2">
            <w:pPr>
              <w:jc w:val="both"/>
              <w:rPr>
                <w:b/>
                <w:sz w:val="20"/>
                <w:szCs w:val="20"/>
              </w:rPr>
            </w:pPr>
            <w:r>
              <w:rPr>
                <w:b/>
                <w:sz w:val="20"/>
                <w:szCs w:val="20"/>
              </w:rPr>
              <w:t xml:space="preserve">En 2014, </w:t>
            </w:r>
            <w:r>
              <w:rPr>
                <w:sz w:val="20"/>
                <w:szCs w:val="20"/>
              </w:rPr>
              <w:t>le taux global, tous services confondus (AC et SD), de primo-nominations est de</w:t>
            </w:r>
            <w:r>
              <w:rPr>
                <w:b/>
                <w:sz w:val="20"/>
                <w:szCs w:val="20"/>
              </w:rPr>
              <w:t xml:space="preserve"> 61 %. </w:t>
            </w:r>
            <w:r>
              <w:rPr>
                <w:sz w:val="20"/>
                <w:szCs w:val="20"/>
              </w:rPr>
              <w:t>Notre département ministériel est le seul qui a primo-nommé plus de femmes que d’hommes.</w:t>
            </w:r>
          </w:p>
        </w:tc>
        <w:tc>
          <w:tcPr>
            <w:tcW w:w="300" w:type="dxa"/>
            <w:tcBorders>
              <w:bottom w:val="single" w:sz="4" w:space="0" w:color="auto"/>
            </w:tcBorders>
            <w:shd w:val="clear" w:color="auto" w:fill="00B050"/>
            <w:vAlign w:val="center"/>
          </w:tcPr>
          <w:p w:rsidR="00E80814" w:rsidRPr="00E10B2A" w:rsidRDefault="00817ACB" w:rsidP="00EC2182">
            <w:pPr>
              <w:ind w:left="-57"/>
              <w:rPr>
                <w:rFonts w:ascii="DejaVu Sans" w:hAnsi="DejaVu Sans" w:cs="DejaVu Sans"/>
                <w:b/>
              </w:rPr>
            </w:pPr>
            <w:r w:rsidRPr="00E10B2A">
              <w:rPr>
                <w:rFonts w:ascii="DejaVu Sans" w:hAnsi="DejaVu Sans" w:cs="DejaVu Sans"/>
                <w:b/>
              </w:rPr>
              <w:t>●</w:t>
            </w:r>
          </w:p>
        </w:tc>
      </w:tr>
      <w:tr w:rsidR="00E80814" w:rsidRPr="00F839E4" w:rsidTr="00A77222">
        <w:tc>
          <w:tcPr>
            <w:tcW w:w="5637" w:type="dxa"/>
            <w:tcBorders>
              <w:top w:val="nil"/>
            </w:tcBorders>
          </w:tcPr>
          <w:p w:rsidR="00E80814" w:rsidRDefault="00E80814" w:rsidP="001D7E45">
            <w:pPr>
              <w:pStyle w:val="Paragraphedeliste1"/>
              <w:numPr>
                <w:ilvl w:val="0"/>
                <w:numId w:val="42"/>
              </w:numPr>
              <w:jc w:val="both"/>
            </w:pPr>
            <w:r>
              <w:t xml:space="preserve">Proposer systématiquement aux décideurs la candidature d’au moins un agent de chaque sexe pour les nominations aux emplois visés par </w:t>
            </w:r>
            <w:smartTag w:uri="urn:schemas-microsoft-com:office:smarttags" w:element="PersonName">
              <w:smartTagPr>
                <w:attr w:name="ProductID" w:val="la loi Sauvadet"/>
              </w:smartTagPr>
              <w:r>
                <w:t>la loi Sauvadet</w:t>
              </w:r>
            </w:smartTag>
            <w:r>
              <w:t xml:space="preserve"> </w:t>
            </w:r>
          </w:p>
        </w:tc>
        <w:tc>
          <w:tcPr>
            <w:tcW w:w="4064" w:type="dxa"/>
            <w:tcBorders>
              <w:top w:val="nil"/>
            </w:tcBorders>
          </w:tcPr>
          <w:p w:rsidR="00E80814" w:rsidRPr="00C62FE7" w:rsidRDefault="00E80814" w:rsidP="005E622F">
            <w:pPr>
              <w:rPr>
                <w:b/>
                <w:sz w:val="20"/>
                <w:szCs w:val="20"/>
              </w:rPr>
            </w:pPr>
            <w:r>
              <w:rPr>
                <w:b/>
                <w:sz w:val="20"/>
                <w:szCs w:val="20"/>
              </w:rPr>
              <w:t>2015</w:t>
            </w:r>
          </w:p>
        </w:tc>
        <w:tc>
          <w:tcPr>
            <w:tcW w:w="300" w:type="dxa"/>
            <w:tcBorders>
              <w:bottom w:val="single" w:sz="4" w:space="0" w:color="auto"/>
            </w:tcBorders>
            <w:shd w:val="clear" w:color="auto" w:fill="auto"/>
            <w:vAlign w:val="center"/>
          </w:tcPr>
          <w:p w:rsidR="00E80814" w:rsidRPr="00E10B2A" w:rsidRDefault="00E80814" w:rsidP="00577575">
            <w:pPr>
              <w:ind w:left="-57"/>
              <w:rPr>
                <w:rFonts w:ascii="DejaVu Sans" w:hAnsi="DejaVu Sans" w:cs="DejaVu Sans"/>
                <w:b/>
              </w:rPr>
            </w:pPr>
          </w:p>
        </w:tc>
      </w:tr>
      <w:tr w:rsidR="00E80814" w:rsidRPr="00F839E4" w:rsidTr="00FD0AE7">
        <w:tc>
          <w:tcPr>
            <w:tcW w:w="5637" w:type="dxa"/>
            <w:tcBorders>
              <w:top w:val="single" w:sz="4" w:space="0" w:color="auto"/>
              <w:bottom w:val="single" w:sz="4" w:space="0" w:color="auto"/>
            </w:tcBorders>
          </w:tcPr>
          <w:p w:rsidR="00E80814" w:rsidRDefault="00E80814" w:rsidP="00255166">
            <w:pPr>
              <w:numPr>
                <w:ilvl w:val="0"/>
                <w:numId w:val="35"/>
              </w:numPr>
              <w:rPr>
                <w:sz w:val="20"/>
                <w:szCs w:val="20"/>
              </w:rPr>
            </w:pPr>
            <w:r w:rsidRPr="00255166">
              <w:rPr>
                <w:sz w:val="20"/>
                <w:szCs w:val="20"/>
              </w:rPr>
              <w:t>Mettre en place</w:t>
            </w:r>
            <w:r>
              <w:rPr>
                <w:sz w:val="20"/>
                <w:szCs w:val="20"/>
              </w:rPr>
              <w:t xml:space="preserve"> des mesures d’accompagnement personnalisé des talents féminins pour les emplois supérieurs </w:t>
            </w:r>
          </w:p>
          <w:p w:rsidR="00E80814" w:rsidRDefault="00E80814" w:rsidP="0010423A">
            <w:pPr>
              <w:numPr>
                <w:ilvl w:val="1"/>
                <w:numId w:val="35"/>
              </w:numPr>
              <w:rPr>
                <w:sz w:val="20"/>
                <w:szCs w:val="20"/>
              </w:rPr>
            </w:pPr>
            <w:r>
              <w:rPr>
                <w:sz w:val="20"/>
                <w:szCs w:val="20"/>
              </w:rPr>
              <w:t>Développer un programme de mentorat visant à soutenir les femmes dans le développement de leur carrière</w:t>
            </w:r>
          </w:p>
          <w:p w:rsidR="00E80814" w:rsidRDefault="00E80814" w:rsidP="0010423A">
            <w:pPr>
              <w:numPr>
                <w:ilvl w:val="1"/>
                <w:numId w:val="35"/>
              </w:numPr>
              <w:rPr>
                <w:sz w:val="20"/>
                <w:szCs w:val="20"/>
              </w:rPr>
            </w:pPr>
            <w:r>
              <w:rPr>
                <w:sz w:val="20"/>
                <w:szCs w:val="20"/>
              </w:rPr>
              <w:lastRenderedPageBreak/>
              <w:t xml:space="preserve">Encourager les femmes ayant des ambitions managériales à prendre conscience de leurs compétences, augmenter leur participation aux sélections de management </w:t>
            </w:r>
          </w:p>
          <w:p w:rsidR="00E80814" w:rsidRPr="0010423A" w:rsidRDefault="00E80814" w:rsidP="0010423A">
            <w:pPr>
              <w:numPr>
                <w:ilvl w:val="1"/>
                <w:numId w:val="35"/>
              </w:numPr>
              <w:rPr>
                <w:sz w:val="20"/>
                <w:szCs w:val="20"/>
              </w:rPr>
            </w:pPr>
            <w:r>
              <w:rPr>
                <w:sz w:val="20"/>
                <w:szCs w:val="20"/>
              </w:rPr>
              <w:t>Démystifier le déroulement des procédures afin de réduire les freins aux candidatures féminines</w:t>
            </w:r>
          </w:p>
        </w:tc>
        <w:tc>
          <w:tcPr>
            <w:tcW w:w="4064" w:type="dxa"/>
            <w:tcBorders>
              <w:top w:val="single" w:sz="4" w:space="0" w:color="auto"/>
              <w:bottom w:val="single" w:sz="4" w:space="0" w:color="auto"/>
            </w:tcBorders>
          </w:tcPr>
          <w:p w:rsidR="00E80814" w:rsidRPr="00981BF5" w:rsidRDefault="00E80814" w:rsidP="005E622F">
            <w:pPr>
              <w:rPr>
                <w:b/>
                <w:sz w:val="20"/>
                <w:szCs w:val="20"/>
              </w:rPr>
            </w:pPr>
            <w:r w:rsidRPr="00981BF5">
              <w:rPr>
                <w:b/>
                <w:sz w:val="20"/>
                <w:szCs w:val="20"/>
              </w:rPr>
              <w:lastRenderedPageBreak/>
              <w:t>2015/2016</w:t>
            </w:r>
          </w:p>
        </w:tc>
        <w:tc>
          <w:tcPr>
            <w:tcW w:w="300" w:type="dxa"/>
            <w:shd w:val="clear" w:color="auto" w:fill="auto"/>
            <w:vAlign w:val="center"/>
          </w:tcPr>
          <w:p w:rsidR="00E80814" w:rsidRPr="00E10B2A" w:rsidRDefault="00E80814" w:rsidP="00440C8C">
            <w:pPr>
              <w:ind w:left="-57"/>
              <w:rPr>
                <w:rFonts w:ascii="DejaVu Sans" w:hAnsi="DejaVu Sans" w:cs="DejaVu Sans"/>
                <w:b/>
              </w:rPr>
            </w:pPr>
          </w:p>
        </w:tc>
      </w:tr>
      <w:tr w:rsidR="00E80814" w:rsidRPr="00F839E4" w:rsidTr="006602B4">
        <w:tc>
          <w:tcPr>
            <w:tcW w:w="9701" w:type="dxa"/>
            <w:gridSpan w:val="2"/>
            <w:tcBorders>
              <w:top w:val="single" w:sz="4" w:space="0" w:color="auto"/>
              <w:bottom w:val="single" w:sz="4" w:space="0" w:color="auto"/>
            </w:tcBorders>
          </w:tcPr>
          <w:p w:rsidR="00E80814" w:rsidRPr="001C5869" w:rsidRDefault="00E80814" w:rsidP="005E622F">
            <w:pPr>
              <w:rPr>
                <w:sz w:val="20"/>
                <w:szCs w:val="20"/>
              </w:rPr>
            </w:pPr>
          </w:p>
          <w:p w:rsidR="00E80814" w:rsidRPr="001C5869" w:rsidRDefault="00E80814" w:rsidP="00ED20A5">
            <w:pPr>
              <w:rPr>
                <w:b/>
                <w:sz w:val="20"/>
                <w:szCs w:val="20"/>
              </w:rPr>
            </w:pPr>
            <w:r w:rsidRPr="001C5869">
              <w:rPr>
                <w:b/>
                <w:sz w:val="20"/>
                <w:szCs w:val="20"/>
              </w:rPr>
              <w:t xml:space="preserve">Mesure 6.3 : </w:t>
            </w:r>
            <w:r>
              <w:rPr>
                <w:b/>
                <w:sz w:val="20"/>
                <w:szCs w:val="20"/>
              </w:rPr>
              <w:t>Veiller à une</w:t>
            </w:r>
            <w:r w:rsidRPr="001C5869">
              <w:rPr>
                <w:b/>
                <w:sz w:val="20"/>
                <w:szCs w:val="20"/>
              </w:rPr>
              <w:t xml:space="preserve"> représentation équilibrée </w:t>
            </w:r>
            <w:r>
              <w:rPr>
                <w:b/>
                <w:sz w:val="20"/>
                <w:szCs w:val="20"/>
              </w:rPr>
              <w:t xml:space="preserve">des personnels du ministère chargé des sports placés auprès </w:t>
            </w:r>
            <w:r w:rsidRPr="001C5869">
              <w:rPr>
                <w:b/>
                <w:sz w:val="20"/>
                <w:szCs w:val="20"/>
              </w:rPr>
              <w:t>d</w:t>
            </w:r>
            <w:r>
              <w:rPr>
                <w:b/>
                <w:sz w:val="20"/>
                <w:szCs w:val="20"/>
              </w:rPr>
              <w:t>e</w:t>
            </w:r>
            <w:r w:rsidRPr="001C5869">
              <w:rPr>
                <w:b/>
                <w:sz w:val="20"/>
                <w:szCs w:val="20"/>
              </w:rPr>
              <w:t>s fédérations sportives</w:t>
            </w:r>
          </w:p>
        </w:tc>
        <w:tc>
          <w:tcPr>
            <w:tcW w:w="300" w:type="dxa"/>
            <w:shd w:val="clear" w:color="auto" w:fill="auto"/>
            <w:vAlign w:val="center"/>
          </w:tcPr>
          <w:p w:rsidR="00E80814" w:rsidRPr="00E10B2A" w:rsidRDefault="00E80814" w:rsidP="00440C8C">
            <w:pPr>
              <w:ind w:left="-57"/>
              <w:rPr>
                <w:rFonts w:ascii="DejaVu Sans" w:hAnsi="DejaVu Sans" w:cs="DejaVu Sans"/>
                <w:b/>
              </w:rPr>
            </w:pPr>
          </w:p>
        </w:tc>
      </w:tr>
      <w:tr w:rsidR="00E80814" w:rsidRPr="00F839E4" w:rsidTr="006602B4">
        <w:tc>
          <w:tcPr>
            <w:tcW w:w="5637" w:type="dxa"/>
            <w:tcBorders>
              <w:top w:val="single" w:sz="4" w:space="0" w:color="auto"/>
            </w:tcBorders>
          </w:tcPr>
          <w:p w:rsidR="00E80814" w:rsidRPr="001C5869" w:rsidRDefault="00E80814" w:rsidP="00EF1276">
            <w:pPr>
              <w:numPr>
                <w:ilvl w:val="0"/>
                <w:numId w:val="39"/>
              </w:numPr>
              <w:jc w:val="both"/>
              <w:rPr>
                <w:sz w:val="20"/>
                <w:szCs w:val="20"/>
              </w:rPr>
            </w:pPr>
            <w:r w:rsidRPr="001C5869">
              <w:rPr>
                <w:sz w:val="20"/>
                <w:szCs w:val="20"/>
              </w:rPr>
              <w:t>Réaliser une revue des cadres avec l’ensemble des fédérations olympiques et non olympiques pour contribuer à augmenter la part des femmes dans les fonctions de Directeur Technique National, Entraîneur national, Conseiller technique National et Conseiller technique Régional</w:t>
            </w:r>
          </w:p>
          <w:p w:rsidR="00E80814" w:rsidRPr="00181DEE" w:rsidRDefault="00E80814" w:rsidP="00181DEE">
            <w:pPr>
              <w:numPr>
                <w:ilvl w:val="0"/>
                <w:numId w:val="39"/>
              </w:numPr>
              <w:jc w:val="both"/>
              <w:rPr>
                <w:sz w:val="20"/>
                <w:szCs w:val="20"/>
              </w:rPr>
            </w:pPr>
            <w:r w:rsidRPr="001C5869">
              <w:rPr>
                <w:sz w:val="20"/>
                <w:szCs w:val="20"/>
              </w:rPr>
              <w:t>Diversifier les parcours professionnels de toutes et tous les Conseillers Techniques Sportifs</w:t>
            </w:r>
          </w:p>
        </w:tc>
        <w:tc>
          <w:tcPr>
            <w:tcW w:w="4064" w:type="dxa"/>
            <w:tcBorders>
              <w:top w:val="single" w:sz="4" w:space="0" w:color="auto"/>
            </w:tcBorders>
          </w:tcPr>
          <w:p w:rsidR="00E80814" w:rsidRPr="001C5869" w:rsidRDefault="00E80814" w:rsidP="005E622F">
            <w:pPr>
              <w:rPr>
                <w:b/>
                <w:sz w:val="20"/>
                <w:szCs w:val="20"/>
              </w:rPr>
            </w:pPr>
            <w:r w:rsidRPr="001C5869">
              <w:rPr>
                <w:b/>
                <w:sz w:val="20"/>
                <w:szCs w:val="20"/>
              </w:rPr>
              <w:t>2015/2016</w:t>
            </w:r>
          </w:p>
          <w:p w:rsidR="00E80814" w:rsidRPr="001C5869" w:rsidRDefault="00E80814" w:rsidP="00A47CB6">
            <w:pPr>
              <w:rPr>
                <w:sz w:val="20"/>
                <w:szCs w:val="20"/>
              </w:rPr>
            </w:pPr>
          </w:p>
          <w:p w:rsidR="00E80814" w:rsidRPr="001C5869" w:rsidRDefault="00E80814" w:rsidP="00A47CB6">
            <w:pPr>
              <w:rPr>
                <w:sz w:val="20"/>
                <w:szCs w:val="20"/>
              </w:rPr>
            </w:pPr>
          </w:p>
          <w:p w:rsidR="00E80814" w:rsidRPr="001C5869" w:rsidRDefault="00E80814" w:rsidP="00A47CB6">
            <w:pPr>
              <w:rPr>
                <w:sz w:val="20"/>
                <w:szCs w:val="20"/>
              </w:rPr>
            </w:pPr>
          </w:p>
          <w:p w:rsidR="00E80814" w:rsidRPr="001C5869" w:rsidRDefault="00E80814" w:rsidP="00A47CB6">
            <w:pPr>
              <w:rPr>
                <w:sz w:val="20"/>
                <w:szCs w:val="20"/>
              </w:rPr>
            </w:pPr>
          </w:p>
          <w:p w:rsidR="00E80814" w:rsidRPr="001C5869" w:rsidRDefault="00E80814" w:rsidP="00A47CB6">
            <w:pPr>
              <w:rPr>
                <w:sz w:val="20"/>
                <w:szCs w:val="20"/>
              </w:rPr>
            </w:pPr>
          </w:p>
          <w:p w:rsidR="00E80814" w:rsidRPr="001C5869" w:rsidRDefault="00E80814" w:rsidP="00A47CB6">
            <w:pPr>
              <w:rPr>
                <w:b/>
                <w:sz w:val="20"/>
                <w:szCs w:val="20"/>
              </w:rPr>
            </w:pPr>
            <w:r w:rsidRPr="001C5869">
              <w:rPr>
                <w:b/>
                <w:sz w:val="20"/>
                <w:szCs w:val="20"/>
              </w:rPr>
              <w:t>2015/2016</w:t>
            </w:r>
          </w:p>
          <w:p w:rsidR="00E80814" w:rsidRPr="001C5869" w:rsidRDefault="00E80814" w:rsidP="00A47CB6">
            <w:pPr>
              <w:rPr>
                <w:b/>
                <w:sz w:val="20"/>
                <w:szCs w:val="20"/>
              </w:rPr>
            </w:pPr>
          </w:p>
        </w:tc>
        <w:tc>
          <w:tcPr>
            <w:tcW w:w="300" w:type="dxa"/>
            <w:tcBorders>
              <w:bottom w:val="single" w:sz="4" w:space="0" w:color="auto"/>
            </w:tcBorders>
            <w:shd w:val="clear" w:color="auto" w:fill="auto"/>
            <w:vAlign w:val="center"/>
          </w:tcPr>
          <w:p w:rsidR="00E80814" w:rsidRPr="00E10B2A" w:rsidRDefault="00E80814" w:rsidP="00440C8C">
            <w:pPr>
              <w:ind w:left="-57"/>
              <w:rPr>
                <w:rFonts w:ascii="DejaVu Sans" w:hAnsi="DejaVu Sans" w:cs="DejaVu Sans"/>
                <w:b/>
              </w:rPr>
            </w:pPr>
          </w:p>
        </w:tc>
      </w:tr>
    </w:tbl>
    <w:p w:rsidR="00B31E10" w:rsidRDefault="00B31E10" w:rsidP="00052C6E">
      <w:pPr>
        <w:ind w:right="-628"/>
      </w:pPr>
    </w:p>
    <w:sectPr w:rsidR="00B31E10" w:rsidSect="001535AF">
      <w:headerReference w:type="default" r:id="rId14"/>
      <w:footerReference w:type="default" r:id="rId15"/>
      <w:pgSz w:w="11906" w:h="16838" w:code="9"/>
      <w:pgMar w:top="964" w:right="1134" w:bottom="25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EF3" w:rsidRDefault="00B65EF3">
      <w:r>
        <w:separator/>
      </w:r>
    </w:p>
  </w:endnote>
  <w:endnote w:type="continuationSeparator" w:id="0">
    <w:p w:rsidR="00B65EF3" w:rsidRDefault="00B65E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Gras">
    <w:panose1 w:val="020B0704020202020204"/>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Times New (W1)">
    <w:altName w:val="Times New Roman"/>
    <w:charset w:val="00"/>
    <w:family w:val="roman"/>
    <w:pitch w:val="variable"/>
    <w:sig w:usb0="20007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DejaVu Sans">
    <w:altName w:val="Arial"/>
    <w:charset w:val="00"/>
    <w:family w:val="swiss"/>
    <w:pitch w:val="variable"/>
    <w:sig w:usb0="00000000" w:usb1="5200FDFF" w:usb2="00042021"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46" w:rsidRDefault="00C82926" w:rsidP="001514C3">
    <w:pPr>
      <w:pStyle w:val="Pieddepage"/>
      <w:jc w:val="center"/>
    </w:pPr>
    <w:r>
      <w:rPr>
        <w:rStyle w:val="Numrodepage"/>
      </w:rPr>
      <w:fldChar w:fldCharType="begin"/>
    </w:r>
    <w:r w:rsidR="00056846">
      <w:rPr>
        <w:rStyle w:val="Numrodepage"/>
      </w:rPr>
      <w:instrText xml:space="preserve"> PAGE </w:instrText>
    </w:r>
    <w:r>
      <w:rPr>
        <w:rStyle w:val="Numrodepage"/>
      </w:rPr>
      <w:fldChar w:fldCharType="separate"/>
    </w:r>
    <w:r w:rsidR="008152F7">
      <w:rPr>
        <w:rStyle w:val="Numrodepage"/>
        <w:noProof/>
      </w:rPr>
      <w:t>1</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EF3" w:rsidRDefault="00B65EF3">
      <w:r>
        <w:separator/>
      </w:r>
    </w:p>
  </w:footnote>
  <w:footnote w:type="continuationSeparator" w:id="0">
    <w:p w:rsidR="00B65EF3" w:rsidRDefault="00B65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46" w:rsidRDefault="00056846" w:rsidP="003850BE">
    <w:pPr>
      <w:pStyle w:val="En-tte"/>
      <w:framePr w:wrap="around" w:vAnchor="text" w:hAnchor="margin" w:xAlign="right" w:y="1"/>
      <w:rPr>
        <w:rStyle w:val="Numrodepage"/>
      </w:rPr>
    </w:pPr>
  </w:p>
  <w:p w:rsidR="00056846" w:rsidRPr="00550AD2" w:rsidRDefault="00056846" w:rsidP="00550AD2">
    <w:pPr>
      <w:pStyle w:val="En-tte"/>
      <w:jc w:val="center"/>
      <w:rPr>
        <w:kern w:val="18"/>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BF2"/>
    <w:multiLevelType w:val="hybridMultilevel"/>
    <w:tmpl w:val="4D1C8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6F723B"/>
    <w:multiLevelType w:val="hybridMultilevel"/>
    <w:tmpl w:val="141A7512"/>
    <w:lvl w:ilvl="0" w:tplc="535095D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946318"/>
    <w:multiLevelType w:val="hybridMultilevel"/>
    <w:tmpl w:val="B1D48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047752"/>
    <w:multiLevelType w:val="hybridMultilevel"/>
    <w:tmpl w:val="AB567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CC672B"/>
    <w:multiLevelType w:val="hybridMultilevel"/>
    <w:tmpl w:val="3A0C3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A77860"/>
    <w:multiLevelType w:val="hybridMultilevel"/>
    <w:tmpl w:val="7F229938"/>
    <w:lvl w:ilvl="0" w:tplc="535095D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62B3403"/>
    <w:multiLevelType w:val="hybridMultilevel"/>
    <w:tmpl w:val="EF681C9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9AE5BF7"/>
    <w:multiLevelType w:val="multilevel"/>
    <w:tmpl w:val="D1F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83DB2"/>
    <w:multiLevelType w:val="hybridMultilevel"/>
    <w:tmpl w:val="66E6FFB0"/>
    <w:lvl w:ilvl="0" w:tplc="040C0001">
      <w:start w:val="201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48D7D37"/>
    <w:multiLevelType w:val="hybridMultilevel"/>
    <w:tmpl w:val="B97A0CE2"/>
    <w:lvl w:ilvl="0" w:tplc="535095D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8B1403B"/>
    <w:multiLevelType w:val="hybridMultilevel"/>
    <w:tmpl w:val="938024B4"/>
    <w:lvl w:ilvl="0" w:tplc="535095D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9585BA4"/>
    <w:multiLevelType w:val="hybridMultilevel"/>
    <w:tmpl w:val="F04E8C94"/>
    <w:lvl w:ilvl="0" w:tplc="535095D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74C26B8"/>
    <w:multiLevelType w:val="hybridMultilevel"/>
    <w:tmpl w:val="1A84B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13066B"/>
    <w:multiLevelType w:val="hybridMultilevel"/>
    <w:tmpl w:val="22FC8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C22929"/>
    <w:multiLevelType w:val="hybridMultilevel"/>
    <w:tmpl w:val="C810A070"/>
    <w:lvl w:ilvl="0" w:tplc="8B50E88C">
      <w:start w:val="1"/>
      <w:numFmt w:val="bullet"/>
      <w:lvlText w:val="•"/>
      <w:lvlJc w:val="left"/>
      <w:pPr>
        <w:tabs>
          <w:tab w:val="num" w:pos="720"/>
        </w:tabs>
        <w:ind w:left="720" w:hanging="360"/>
      </w:pPr>
      <w:rPr>
        <w:rFonts w:ascii="Arial" w:hAnsi="Arial" w:hint="default"/>
      </w:rPr>
    </w:lvl>
    <w:lvl w:ilvl="1" w:tplc="FC68B7F6" w:tentative="1">
      <w:start w:val="1"/>
      <w:numFmt w:val="bullet"/>
      <w:lvlText w:val="•"/>
      <w:lvlJc w:val="left"/>
      <w:pPr>
        <w:tabs>
          <w:tab w:val="num" w:pos="1440"/>
        </w:tabs>
        <w:ind w:left="1440" w:hanging="360"/>
      </w:pPr>
      <w:rPr>
        <w:rFonts w:ascii="Arial" w:hAnsi="Arial" w:hint="default"/>
      </w:rPr>
    </w:lvl>
    <w:lvl w:ilvl="2" w:tplc="FE1AEC82" w:tentative="1">
      <w:start w:val="1"/>
      <w:numFmt w:val="bullet"/>
      <w:lvlText w:val="•"/>
      <w:lvlJc w:val="left"/>
      <w:pPr>
        <w:tabs>
          <w:tab w:val="num" w:pos="2160"/>
        </w:tabs>
        <w:ind w:left="2160" w:hanging="360"/>
      </w:pPr>
      <w:rPr>
        <w:rFonts w:ascii="Arial" w:hAnsi="Arial" w:hint="default"/>
      </w:rPr>
    </w:lvl>
    <w:lvl w:ilvl="3" w:tplc="CC6E335A" w:tentative="1">
      <w:start w:val="1"/>
      <w:numFmt w:val="bullet"/>
      <w:lvlText w:val="•"/>
      <w:lvlJc w:val="left"/>
      <w:pPr>
        <w:tabs>
          <w:tab w:val="num" w:pos="2880"/>
        </w:tabs>
        <w:ind w:left="2880" w:hanging="360"/>
      </w:pPr>
      <w:rPr>
        <w:rFonts w:ascii="Arial" w:hAnsi="Arial" w:hint="default"/>
      </w:rPr>
    </w:lvl>
    <w:lvl w:ilvl="4" w:tplc="76AC37BA" w:tentative="1">
      <w:start w:val="1"/>
      <w:numFmt w:val="bullet"/>
      <w:lvlText w:val="•"/>
      <w:lvlJc w:val="left"/>
      <w:pPr>
        <w:tabs>
          <w:tab w:val="num" w:pos="3600"/>
        </w:tabs>
        <w:ind w:left="3600" w:hanging="360"/>
      </w:pPr>
      <w:rPr>
        <w:rFonts w:ascii="Arial" w:hAnsi="Arial" w:hint="default"/>
      </w:rPr>
    </w:lvl>
    <w:lvl w:ilvl="5" w:tplc="45621264" w:tentative="1">
      <w:start w:val="1"/>
      <w:numFmt w:val="bullet"/>
      <w:lvlText w:val="•"/>
      <w:lvlJc w:val="left"/>
      <w:pPr>
        <w:tabs>
          <w:tab w:val="num" w:pos="4320"/>
        </w:tabs>
        <w:ind w:left="4320" w:hanging="360"/>
      </w:pPr>
      <w:rPr>
        <w:rFonts w:ascii="Arial" w:hAnsi="Arial" w:hint="default"/>
      </w:rPr>
    </w:lvl>
    <w:lvl w:ilvl="6" w:tplc="E8802E8E" w:tentative="1">
      <w:start w:val="1"/>
      <w:numFmt w:val="bullet"/>
      <w:lvlText w:val="•"/>
      <w:lvlJc w:val="left"/>
      <w:pPr>
        <w:tabs>
          <w:tab w:val="num" w:pos="5040"/>
        </w:tabs>
        <w:ind w:left="5040" w:hanging="360"/>
      </w:pPr>
      <w:rPr>
        <w:rFonts w:ascii="Arial" w:hAnsi="Arial" w:hint="default"/>
      </w:rPr>
    </w:lvl>
    <w:lvl w:ilvl="7" w:tplc="7E7868D4" w:tentative="1">
      <w:start w:val="1"/>
      <w:numFmt w:val="bullet"/>
      <w:lvlText w:val="•"/>
      <w:lvlJc w:val="left"/>
      <w:pPr>
        <w:tabs>
          <w:tab w:val="num" w:pos="5760"/>
        </w:tabs>
        <w:ind w:left="5760" w:hanging="360"/>
      </w:pPr>
      <w:rPr>
        <w:rFonts w:ascii="Arial" w:hAnsi="Arial" w:hint="default"/>
      </w:rPr>
    </w:lvl>
    <w:lvl w:ilvl="8" w:tplc="16CA9D56" w:tentative="1">
      <w:start w:val="1"/>
      <w:numFmt w:val="bullet"/>
      <w:lvlText w:val="•"/>
      <w:lvlJc w:val="left"/>
      <w:pPr>
        <w:tabs>
          <w:tab w:val="num" w:pos="6480"/>
        </w:tabs>
        <w:ind w:left="6480" w:hanging="360"/>
      </w:pPr>
      <w:rPr>
        <w:rFonts w:ascii="Arial" w:hAnsi="Arial" w:hint="default"/>
      </w:rPr>
    </w:lvl>
  </w:abstractNum>
  <w:abstractNum w:abstractNumId="15">
    <w:nsid w:val="413838F0"/>
    <w:multiLevelType w:val="hybridMultilevel"/>
    <w:tmpl w:val="7F5C5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E70ED3"/>
    <w:multiLevelType w:val="hybridMultilevel"/>
    <w:tmpl w:val="B0D67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4D5C46"/>
    <w:multiLevelType w:val="hybridMultilevel"/>
    <w:tmpl w:val="7194D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4775DF"/>
    <w:multiLevelType w:val="hybridMultilevel"/>
    <w:tmpl w:val="092427D8"/>
    <w:lvl w:ilvl="0" w:tplc="3FC61C6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C767D10"/>
    <w:multiLevelType w:val="hybridMultilevel"/>
    <w:tmpl w:val="53F0B0D6"/>
    <w:lvl w:ilvl="0" w:tplc="78DAA06A">
      <w:start w:val="1"/>
      <w:numFmt w:val="bullet"/>
      <w:lvlText w:val="•"/>
      <w:lvlJc w:val="left"/>
      <w:pPr>
        <w:tabs>
          <w:tab w:val="num" w:pos="720"/>
        </w:tabs>
        <w:ind w:left="720" w:hanging="360"/>
      </w:pPr>
      <w:rPr>
        <w:rFonts w:ascii="Calibri" w:hAnsi="Calibri" w:hint="default"/>
      </w:rPr>
    </w:lvl>
    <w:lvl w:ilvl="1" w:tplc="79E022FA" w:tentative="1">
      <w:start w:val="1"/>
      <w:numFmt w:val="bullet"/>
      <w:lvlText w:val="•"/>
      <w:lvlJc w:val="left"/>
      <w:pPr>
        <w:tabs>
          <w:tab w:val="num" w:pos="1440"/>
        </w:tabs>
        <w:ind w:left="1440" w:hanging="360"/>
      </w:pPr>
      <w:rPr>
        <w:rFonts w:ascii="Calibri" w:hAnsi="Calibri" w:hint="default"/>
      </w:rPr>
    </w:lvl>
    <w:lvl w:ilvl="2" w:tplc="1796195C" w:tentative="1">
      <w:start w:val="1"/>
      <w:numFmt w:val="bullet"/>
      <w:lvlText w:val="•"/>
      <w:lvlJc w:val="left"/>
      <w:pPr>
        <w:tabs>
          <w:tab w:val="num" w:pos="2160"/>
        </w:tabs>
        <w:ind w:left="2160" w:hanging="360"/>
      </w:pPr>
      <w:rPr>
        <w:rFonts w:ascii="Calibri" w:hAnsi="Calibri" w:hint="default"/>
      </w:rPr>
    </w:lvl>
    <w:lvl w:ilvl="3" w:tplc="31B089A0" w:tentative="1">
      <w:start w:val="1"/>
      <w:numFmt w:val="bullet"/>
      <w:lvlText w:val="•"/>
      <w:lvlJc w:val="left"/>
      <w:pPr>
        <w:tabs>
          <w:tab w:val="num" w:pos="2880"/>
        </w:tabs>
        <w:ind w:left="2880" w:hanging="360"/>
      </w:pPr>
      <w:rPr>
        <w:rFonts w:ascii="Calibri" w:hAnsi="Calibri" w:hint="default"/>
      </w:rPr>
    </w:lvl>
    <w:lvl w:ilvl="4" w:tplc="405A2AF4" w:tentative="1">
      <w:start w:val="1"/>
      <w:numFmt w:val="bullet"/>
      <w:lvlText w:val="•"/>
      <w:lvlJc w:val="left"/>
      <w:pPr>
        <w:tabs>
          <w:tab w:val="num" w:pos="3600"/>
        </w:tabs>
        <w:ind w:left="3600" w:hanging="360"/>
      </w:pPr>
      <w:rPr>
        <w:rFonts w:ascii="Calibri" w:hAnsi="Calibri" w:hint="default"/>
      </w:rPr>
    </w:lvl>
    <w:lvl w:ilvl="5" w:tplc="20084CDE" w:tentative="1">
      <w:start w:val="1"/>
      <w:numFmt w:val="bullet"/>
      <w:lvlText w:val="•"/>
      <w:lvlJc w:val="left"/>
      <w:pPr>
        <w:tabs>
          <w:tab w:val="num" w:pos="4320"/>
        </w:tabs>
        <w:ind w:left="4320" w:hanging="360"/>
      </w:pPr>
      <w:rPr>
        <w:rFonts w:ascii="Calibri" w:hAnsi="Calibri" w:hint="default"/>
      </w:rPr>
    </w:lvl>
    <w:lvl w:ilvl="6" w:tplc="51C2188C" w:tentative="1">
      <w:start w:val="1"/>
      <w:numFmt w:val="bullet"/>
      <w:lvlText w:val="•"/>
      <w:lvlJc w:val="left"/>
      <w:pPr>
        <w:tabs>
          <w:tab w:val="num" w:pos="5040"/>
        </w:tabs>
        <w:ind w:left="5040" w:hanging="360"/>
      </w:pPr>
      <w:rPr>
        <w:rFonts w:ascii="Calibri" w:hAnsi="Calibri" w:hint="default"/>
      </w:rPr>
    </w:lvl>
    <w:lvl w:ilvl="7" w:tplc="149AB24A" w:tentative="1">
      <w:start w:val="1"/>
      <w:numFmt w:val="bullet"/>
      <w:lvlText w:val="•"/>
      <w:lvlJc w:val="left"/>
      <w:pPr>
        <w:tabs>
          <w:tab w:val="num" w:pos="5760"/>
        </w:tabs>
        <w:ind w:left="5760" w:hanging="360"/>
      </w:pPr>
      <w:rPr>
        <w:rFonts w:ascii="Calibri" w:hAnsi="Calibri" w:hint="default"/>
      </w:rPr>
    </w:lvl>
    <w:lvl w:ilvl="8" w:tplc="317E2A42" w:tentative="1">
      <w:start w:val="1"/>
      <w:numFmt w:val="bullet"/>
      <w:lvlText w:val="•"/>
      <w:lvlJc w:val="left"/>
      <w:pPr>
        <w:tabs>
          <w:tab w:val="num" w:pos="6480"/>
        </w:tabs>
        <w:ind w:left="6480" w:hanging="360"/>
      </w:pPr>
      <w:rPr>
        <w:rFonts w:ascii="Calibri" w:hAnsi="Calibri" w:hint="default"/>
      </w:rPr>
    </w:lvl>
  </w:abstractNum>
  <w:abstractNum w:abstractNumId="20">
    <w:nsid w:val="4E414738"/>
    <w:multiLevelType w:val="hybridMultilevel"/>
    <w:tmpl w:val="F0B05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E9852C8"/>
    <w:multiLevelType w:val="hybridMultilevel"/>
    <w:tmpl w:val="D658AABA"/>
    <w:lvl w:ilvl="0" w:tplc="ED3CA8F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3BF0130"/>
    <w:multiLevelType w:val="hybridMultilevel"/>
    <w:tmpl w:val="8DDA68D0"/>
    <w:lvl w:ilvl="0" w:tplc="535095D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5F72138"/>
    <w:multiLevelType w:val="hybridMultilevel"/>
    <w:tmpl w:val="17628FB2"/>
    <w:lvl w:ilvl="0" w:tplc="535095D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67B61A6"/>
    <w:multiLevelType w:val="hybridMultilevel"/>
    <w:tmpl w:val="0CD239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9966F4"/>
    <w:multiLevelType w:val="hybridMultilevel"/>
    <w:tmpl w:val="99CE1160"/>
    <w:lvl w:ilvl="0" w:tplc="229AE070">
      <w:start w:val="1"/>
      <w:numFmt w:val="decimal"/>
      <w:lvlText w:val=" %1 "/>
      <w:lvlJc w:val="left"/>
      <w:pPr>
        <w:tabs>
          <w:tab w:val="num" w:pos="1440"/>
        </w:tabs>
        <w:ind w:left="1440" w:hanging="360"/>
      </w:pPr>
      <w:rPr>
        <w:rFonts w:hint="default"/>
      </w:rPr>
    </w:lvl>
    <w:lvl w:ilvl="1" w:tplc="BD70EDF8">
      <w:start w:val="1"/>
      <w:numFmt w:val="decimal"/>
      <w:pStyle w:val="Titre2"/>
      <w:lvlText w:val=" %2 "/>
      <w:lvlJc w:val="left"/>
      <w:pPr>
        <w:tabs>
          <w:tab w:val="num" w:pos="1440"/>
        </w:tabs>
        <w:ind w:left="1440" w:hanging="360"/>
      </w:pPr>
      <w:rPr>
        <w:rFonts w:hint="default"/>
      </w:rPr>
    </w:lvl>
    <w:lvl w:ilvl="2" w:tplc="CDAA7CFE" w:tentative="1">
      <w:start w:val="1"/>
      <w:numFmt w:val="lowerRoman"/>
      <w:lvlText w:val="%3."/>
      <w:lvlJc w:val="right"/>
      <w:pPr>
        <w:tabs>
          <w:tab w:val="num" w:pos="2160"/>
        </w:tabs>
        <w:ind w:left="2160" w:hanging="180"/>
      </w:pPr>
    </w:lvl>
    <w:lvl w:ilvl="3" w:tplc="96387F7A" w:tentative="1">
      <w:start w:val="1"/>
      <w:numFmt w:val="decimal"/>
      <w:lvlText w:val="%4."/>
      <w:lvlJc w:val="left"/>
      <w:pPr>
        <w:tabs>
          <w:tab w:val="num" w:pos="2880"/>
        </w:tabs>
        <w:ind w:left="2880" w:hanging="360"/>
      </w:pPr>
    </w:lvl>
    <w:lvl w:ilvl="4" w:tplc="E4AE642A" w:tentative="1">
      <w:start w:val="1"/>
      <w:numFmt w:val="lowerLetter"/>
      <w:lvlText w:val="%5."/>
      <w:lvlJc w:val="left"/>
      <w:pPr>
        <w:tabs>
          <w:tab w:val="num" w:pos="3600"/>
        </w:tabs>
        <w:ind w:left="3600" w:hanging="360"/>
      </w:pPr>
    </w:lvl>
    <w:lvl w:ilvl="5" w:tplc="12C2E06A" w:tentative="1">
      <w:start w:val="1"/>
      <w:numFmt w:val="lowerRoman"/>
      <w:lvlText w:val="%6."/>
      <w:lvlJc w:val="right"/>
      <w:pPr>
        <w:tabs>
          <w:tab w:val="num" w:pos="4320"/>
        </w:tabs>
        <w:ind w:left="4320" w:hanging="180"/>
      </w:pPr>
    </w:lvl>
    <w:lvl w:ilvl="6" w:tplc="D500DDCE" w:tentative="1">
      <w:start w:val="1"/>
      <w:numFmt w:val="decimal"/>
      <w:lvlText w:val="%7."/>
      <w:lvlJc w:val="left"/>
      <w:pPr>
        <w:tabs>
          <w:tab w:val="num" w:pos="5040"/>
        </w:tabs>
        <w:ind w:left="5040" w:hanging="360"/>
      </w:pPr>
    </w:lvl>
    <w:lvl w:ilvl="7" w:tplc="DCAAFC16" w:tentative="1">
      <w:start w:val="1"/>
      <w:numFmt w:val="lowerLetter"/>
      <w:lvlText w:val="%8."/>
      <w:lvlJc w:val="left"/>
      <w:pPr>
        <w:tabs>
          <w:tab w:val="num" w:pos="5760"/>
        </w:tabs>
        <w:ind w:left="5760" w:hanging="360"/>
      </w:pPr>
    </w:lvl>
    <w:lvl w:ilvl="8" w:tplc="7D92A81C" w:tentative="1">
      <w:start w:val="1"/>
      <w:numFmt w:val="lowerRoman"/>
      <w:lvlText w:val="%9."/>
      <w:lvlJc w:val="right"/>
      <w:pPr>
        <w:tabs>
          <w:tab w:val="num" w:pos="6480"/>
        </w:tabs>
        <w:ind w:left="6480" w:hanging="180"/>
      </w:pPr>
    </w:lvl>
  </w:abstractNum>
  <w:abstractNum w:abstractNumId="26">
    <w:nsid w:val="58D820AB"/>
    <w:multiLevelType w:val="hybridMultilevel"/>
    <w:tmpl w:val="D3B8C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9402D92"/>
    <w:multiLevelType w:val="hybridMultilevel"/>
    <w:tmpl w:val="A802DDD0"/>
    <w:lvl w:ilvl="0" w:tplc="040C0001">
      <w:start w:val="201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95E262A"/>
    <w:multiLevelType w:val="hybridMultilevel"/>
    <w:tmpl w:val="B9907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B7C7987"/>
    <w:multiLevelType w:val="hybridMultilevel"/>
    <w:tmpl w:val="26A4C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C371AD"/>
    <w:multiLevelType w:val="hybridMultilevel"/>
    <w:tmpl w:val="933ABB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E006D46"/>
    <w:multiLevelType w:val="hybridMultilevel"/>
    <w:tmpl w:val="E5707BA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F0F078E"/>
    <w:multiLevelType w:val="hybridMultilevel"/>
    <w:tmpl w:val="FEB02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1721E78"/>
    <w:multiLevelType w:val="hybridMultilevel"/>
    <w:tmpl w:val="356851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2134012"/>
    <w:multiLevelType w:val="hybridMultilevel"/>
    <w:tmpl w:val="CA5A99C0"/>
    <w:lvl w:ilvl="0" w:tplc="ED3CA8F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2FA5BD9"/>
    <w:multiLevelType w:val="hybridMultilevel"/>
    <w:tmpl w:val="95FECAFC"/>
    <w:lvl w:ilvl="0" w:tplc="B29E0790">
      <w:start w:val="1"/>
      <w:numFmt w:val="bullet"/>
      <w:lvlText w:val="•"/>
      <w:lvlJc w:val="left"/>
      <w:pPr>
        <w:tabs>
          <w:tab w:val="num" w:pos="720"/>
        </w:tabs>
        <w:ind w:left="720" w:hanging="360"/>
      </w:pPr>
      <w:rPr>
        <w:rFonts w:ascii="Arial" w:hAnsi="Arial" w:hint="default"/>
      </w:rPr>
    </w:lvl>
    <w:lvl w:ilvl="1" w:tplc="82740D9C" w:tentative="1">
      <w:start w:val="1"/>
      <w:numFmt w:val="bullet"/>
      <w:lvlText w:val="•"/>
      <w:lvlJc w:val="left"/>
      <w:pPr>
        <w:tabs>
          <w:tab w:val="num" w:pos="1440"/>
        </w:tabs>
        <w:ind w:left="1440" w:hanging="360"/>
      </w:pPr>
      <w:rPr>
        <w:rFonts w:ascii="Arial" w:hAnsi="Arial" w:hint="default"/>
      </w:rPr>
    </w:lvl>
    <w:lvl w:ilvl="2" w:tplc="5C626DC2" w:tentative="1">
      <w:start w:val="1"/>
      <w:numFmt w:val="bullet"/>
      <w:lvlText w:val="•"/>
      <w:lvlJc w:val="left"/>
      <w:pPr>
        <w:tabs>
          <w:tab w:val="num" w:pos="2160"/>
        </w:tabs>
        <w:ind w:left="2160" w:hanging="360"/>
      </w:pPr>
      <w:rPr>
        <w:rFonts w:ascii="Arial" w:hAnsi="Arial" w:hint="default"/>
      </w:rPr>
    </w:lvl>
    <w:lvl w:ilvl="3" w:tplc="3F924C8C" w:tentative="1">
      <w:start w:val="1"/>
      <w:numFmt w:val="bullet"/>
      <w:lvlText w:val="•"/>
      <w:lvlJc w:val="left"/>
      <w:pPr>
        <w:tabs>
          <w:tab w:val="num" w:pos="2880"/>
        </w:tabs>
        <w:ind w:left="2880" w:hanging="360"/>
      </w:pPr>
      <w:rPr>
        <w:rFonts w:ascii="Arial" w:hAnsi="Arial" w:hint="default"/>
      </w:rPr>
    </w:lvl>
    <w:lvl w:ilvl="4" w:tplc="1E3C3596" w:tentative="1">
      <w:start w:val="1"/>
      <w:numFmt w:val="bullet"/>
      <w:lvlText w:val="•"/>
      <w:lvlJc w:val="left"/>
      <w:pPr>
        <w:tabs>
          <w:tab w:val="num" w:pos="3600"/>
        </w:tabs>
        <w:ind w:left="3600" w:hanging="360"/>
      </w:pPr>
      <w:rPr>
        <w:rFonts w:ascii="Arial" w:hAnsi="Arial" w:hint="default"/>
      </w:rPr>
    </w:lvl>
    <w:lvl w:ilvl="5" w:tplc="3B4A1468" w:tentative="1">
      <w:start w:val="1"/>
      <w:numFmt w:val="bullet"/>
      <w:lvlText w:val="•"/>
      <w:lvlJc w:val="left"/>
      <w:pPr>
        <w:tabs>
          <w:tab w:val="num" w:pos="4320"/>
        </w:tabs>
        <w:ind w:left="4320" w:hanging="360"/>
      </w:pPr>
      <w:rPr>
        <w:rFonts w:ascii="Arial" w:hAnsi="Arial" w:hint="default"/>
      </w:rPr>
    </w:lvl>
    <w:lvl w:ilvl="6" w:tplc="3AD6900C" w:tentative="1">
      <w:start w:val="1"/>
      <w:numFmt w:val="bullet"/>
      <w:lvlText w:val="•"/>
      <w:lvlJc w:val="left"/>
      <w:pPr>
        <w:tabs>
          <w:tab w:val="num" w:pos="5040"/>
        </w:tabs>
        <w:ind w:left="5040" w:hanging="360"/>
      </w:pPr>
      <w:rPr>
        <w:rFonts w:ascii="Arial" w:hAnsi="Arial" w:hint="default"/>
      </w:rPr>
    </w:lvl>
    <w:lvl w:ilvl="7" w:tplc="954CF674" w:tentative="1">
      <w:start w:val="1"/>
      <w:numFmt w:val="bullet"/>
      <w:lvlText w:val="•"/>
      <w:lvlJc w:val="left"/>
      <w:pPr>
        <w:tabs>
          <w:tab w:val="num" w:pos="5760"/>
        </w:tabs>
        <w:ind w:left="5760" w:hanging="360"/>
      </w:pPr>
      <w:rPr>
        <w:rFonts w:ascii="Arial" w:hAnsi="Arial" w:hint="default"/>
      </w:rPr>
    </w:lvl>
    <w:lvl w:ilvl="8" w:tplc="4CDA9866" w:tentative="1">
      <w:start w:val="1"/>
      <w:numFmt w:val="bullet"/>
      <w:lvlText w:val="•"/>
      <w:lvlJc w:val="left"/>
      <w:pPr>
        <w:tabs>
          <w:tab w:val="num" w:pos="6480"/>
        </w:tabs>
        <w:ind w:left="6480" w:hanging="360"/>
      </w:pPr>
      <w:rPr>
        <w:rFonts w:ascii="Arial" w:hAnsi="Arial" w:hint="default"/>
      </w:rPr>
    </w:lvl>
  </w:abstractNum>
  <w:abstractNum w:abstractNumId="36">
    <w:nsid w:val="67364ED1"/>
    <w:multiLevelType w:val="hybridMultilevel"/>
    <w:tmpl w:val="ECC84404"/>
    <w:lvl w:ilvl="0" w:tplc="CCF8C116">
      <w:numFmt w:val="bullet"/>
      <w:lvlText w:val="-"/>
      <w:lvlJc w:val="left"/>
      <w:pPr>
        <w:ind w:left="403" w:hanging="360"/>
      </w:pPr>
      <w:rPr>
        <w:rFonts w:ascii="Times New Roman" w:eastAsia="Calibri" w:hAnsi="Times New Roman" w:cs="Times New Roman" w:hint="default"/>
      </w:rPr>
    </w:lvl>
    <w:lvl w:ilvl="1" w:tplc="040C0003" w:tentative="1">
      <w:start w:val="1"/>
      <w:numFmt w:val="bullet"/>
      <w:lvlText w:val="o"/>
      <w:lvlJc w:val="left"/>
      <w:pPr>
        <w:ind w:left="1123" w:hanging="360"/>
      </w:pPr>
      <w:rPr>
        <w:rFonts w:ascii="Courier New" w:hAnsi="Courier New" w:cs="Courier New" w:hint="default"/>
      </w:rPr>
    </w:lvl>
    <w:lvl w:ilvl="2" w:tplc="040C0005" w:tentative="1">
      <w:start w:val="1"/>
      <w:numFmt w:val="bullet"/>
      <w:lvlText w:val=""/>
      <w:lvlJc w:val="left"/>
      <w:pPr>
        <w:ind w:left="1843" w:hanging="360"/>
      </w:pPr>
      <w:rPr>
        <w:rFonts w:ascii="Wingdings" w:hAnsi="Wingdings" w:hint="default"/>
      </w:rPr>
    </w:lvl>
    <w:lvl w:ilvl="3" w:tplc="040C0001" w:tentative="1">
      <w:start w:val="1"/>
      <w:numFmt w:val="bullet"/>
      <w:lvlText w:val=""/>
      <w:lvlJc w:val="left"/>
      <w:pPr>
        <w:ind w:left="2563" w:hanging="360"/>
      </w:pPr>
      <w:rPr>
        <w:rFonts w:ascii="Symbol" w:hAnsi="Symbol" w:hint="default"/>
      </w:rPr>
    </w:lvl>
    <w:lvl w:ilvl="4" w:tplc="040C0003" w:tentative="1">
      <w:start w:val="1"/>
      <w:numFmt w:val="bullet"/>
      <w:lvlText w:val="o"/>
      <w:lvlJc w:val="left"/>
      <w:pPr>
        <w:ind w:left="3283" w:hanging="360"/>
      </w:pPr>
      <w:rPr>
        <w:rFonts w:ascii="Courier New" w:hAnsi="Courier New" w:cs="Courier New" w:hint="default"/>
      </w:rPr>
    </w:lvl>
    <w:lvl w:ilvl="5" w:tplc="040C0005" w:tentative="1">
      <w:start w:val="1"/>
      <w:numFmt w:val="bullet"/>
      <w:lvlText w:val=""/>
      <w:lvlJc w:val="left"/>
      <w:pPr>
        <w:ind w:left="4003" w:hanging="360"/>
      </w:pPr>
      <w:rPr>
        <w:rFonts w:ascii="Wingdings" w:hAnsi="Wingdings" w:hint="default"/>
      </w:rPr>
    </w:lvl>
    <w:lvl w:ilvl="6" w:tplc="040C0001" w:tentative="1">
      <w:start w:val="1"/>
      <w:numFmt w:val="bullet"/>
      <w:lvlText w:val=""/>
      <w:lvlJc w:val="left"/>
      <w:pPr>
        <w:ind w:left="4723" w:hanging="360"/>
      </w:pPr>
      <w:rPr>
        <w:rFonts w:ascii="Symbol" w:hAnsi="Symbol" w:hint="default"/>
      </w:rPr>
    </w:lvl>
    <w:lvl w:ilvl="7" w:tplc="040C0003" w:tentative="1">
      <w:start w:val="1"/>
      <w:numFmt w:val="bullet"/>
      <w:lvlText w:val="o"/>
      <w:lvlJc w:val="left"/>
      <w:pPr>
        <w:ind w:left="5443" w:hanging="360"/>
      </w:pPr>
      <w:rPr>
        <w:rFonts w:ascii="Courier New" w:hAnsi="Courier New" w:cs="Courier New" w:hint="default"/>
      </w:rPr>
    </w:lvl>
    <w:lvl w:ilvl="8" w:tplc="040C0005" w:tentative="1">
      <w:start w:val="1"/>
      <w:numFmt w:val="bullet"/>
      <w:lvlText w:val=""/>
      <w:lvlJc w:val="left"/>
      <w:pPr>
        <w:ind w:left="6163" w:hanging="360"/>
      </w:pPr>
      <w:rPr>
        <w:rFonts w:ascii="Wingdings" w:hAnsi="Wingdings" w:hint="default"/>
      </w:rPr>
    </w:lvl>
  </w:abstractNum>
  <w:abstractNum w:abstractNumId="37">
    <w:nsid w:val="6B946887"/>
    <w:multiLevelType w:val="hybridMultilevel"/>
    <w:tmpl w:val="A5F06302"/>
    <w:lvl w:ilvl="0" w:tplc="C61A8972">
      <w:start w:val="1"/>
      <w:numFmt w:val="bullet"/>
      <w:lvlText w:val="•"/>
      <w:lvlJc w:val="left"/>
      <w:pPr>
        <w:tabs>
          <w:tab w:val="num" w:pos="720"/>
        </w:tabs>
        <w:ind w:left="720" w:hanging="360"/>
      </w:pPr>
      <w:rPr>
        <w:rFonts w:ascii="Calibri" w:hAnsi="Calibri" w:hint="default"/>
      </w:rPr>
    </w:lvl>
    <w:lvl w:ilvl="1" w:tplc="3E0A7102" w:tentative="1">
      <w:start w:val="1"/>
      <w:numFmt w:val="bullet"/>
      <w:lvlText w:val="•"/>
      <w:lvlJc w:val="left"/>
      <w:pPr>
        <w:tabs>
          <w:tab w:val="num" w:pos="1440"/>
        </w:tabs>
        <w:ind w:left="1440" w:hanging="360"/>
      </w:pPr>
      <w:rPr>
        <w:rFonts w:ascii="Calibri" w:hAnsi="Calibri" w:hint="default"/>
      </w:rPr>
    </w:lvl>
    <w:lvl w:ilvl="2" w:tplc="B93A7BA4" w:tentative="1">
      <w:start w:val="1"/>
      <w:numFmt w:val="bullet"/>
      <w:lvlText w:val="•"/>
      <w:lvlJc w:val="left"/>
      <w:pPr>
        <w:tabs>
          <w:tab w:val="num" w:pos="2160"/>
        </w:tabs>
        <w:ind w:left="2160" w:hanging="360"/>
      </w:pPr>
      <w:rPr>
        <w:rFonts w:ascii="Calibri" w:hAnsi="Calibri" w:hint="default"/>
      </w:rPr>
    </w:lvl>
    <w:lvl w:ilvl="3" w:tplc="ABC634DE" w:tentative="1">
      <w:start w:val="1"/>
      <w:numFmt w:val="bullet"/>
      <w:lvlText w:val="•"/>
      <w:lvlJc w:val="left"/>
      <w:pPr>
        <w:tabs>
          <w:tab w:val="num" w:pos="2880"/>
        </w:tabs>
        <w:ind w:left="2880" w:hanging="360"/>
      </w:pPr>
      <w:rPr>
        <w:rFonts w:ascii="Calibri" w:hAnsi="Calibri" w:hint="default"/>
      </w:rPr>
    </w:lvl>
    <w:lvl w:ilvl="4" w:tplc="804E8D1A" w:tentative="1">
      <w:start w:val="1"/>
      <w:numFmt w:val="bullet"/>
      <w:lvlText w:val="•"/>
      <w:lvlJc w:val="left"/>
      <w:pPr>
        <w:tabs>
          <w:tab w:val="num" w:pos="3600"/>
        </w:tabs>
        <w:ind w:left="3600" w:hanging="360"/>
      </w:pPr>
      <w:rPr>
        <w:rFonts w:ascii="Calibri" w:hAnsi="Calibri" w:hint="default"/>
      </w:rPr>
    </w:lvl>
    <w:lvl w:ilvl="5" w:tplc="BB94D6C0" w:tentative="1">
      <w:start w:val="1"/>
      <w:numFmt w:val="bullet"/>
      <w:lvlText w:val="•"/>
      <w:lvlJc w:val="left"/>
      <w:pPr>
        <w:tabs>
          <w:tab w:val="num" w:pos="4320"/>
        </w:tabs>
        <w:ind w:left="4320" w:hanging="360"/>
      </w:pPr>
      <w:rPr>
        <w:rFonts w:ascii="Calibri" w:hAnsi="Calibri" w:hint="default"/>
      </w:rPr>
    </w:lvl>
    <w:lvl w:ilvl="6" w:tplc="3DCAB71E" w:tentative="1">
      <w:start w:val="1"/>
      <w:numFmt w:val="bullet"/>
      <w:lvlText w:val="•"/>
      <w:lvlJc w:val="left"/>
      <w:pPr>
        <w:tabs>
          <w:tab w:val="num" w:pos="5040"/>
        </w:tabs>
        <w:ind w:left="5040" w:hanging="360"/>
      </w:pPr>
      <w:rPr>
        <w:rFonts w:ascii="Calibri" w:hAnsi="Calibri" w:hint="default"/>
      </w:rPr>
    </w:lvl>
    <w:lvl w:ilvl="7" w:tplc="700E6C5A" w:tentative="1">
      <w:start w:val="1"/>
      <w:numFmt w:val="bullet"/>
      <w:lvlText w:val="•"/>
      <w:lvlJc w:val="left"/>
      <w:pPr>
        <w:tabs>
          <w:tab w:val="num" w:pos="5760"/>
        </w:tabs>
        <w:ind w:left="5760" w:hanging="360"/>
      </w:pPr>
      <w:rPr>
        <w:rFonts w:ascii="Calibri" w:hAnsi="Calibri" w:hint="default"/>
      </w:rPr>
    </w:lvl>
    <w:lvl w:ilvl="8" w:tplc="42EA853A" w:tentative="1">
      <w:start w:val="1"/>
      <w:numFmt w:val="bullet"/>
      <w:lvlText w:val="•"/>
      <w:lvlJc w:val="left"/>
      <w:pPr>
        <w:tabs>
          <w:tab w:val="num" w:pos="6480"/>
        </w:tabs>
        <w:ind w:left="6480" w:hanging="360"/>
      </w:pPr>
      <w:rPr>
        <w:rFonts w:ascii="Calibri" w:hAnsi="Calibri" w:hint="default"/>
      </w:rPr>
    </w:lvl>
  </w:abstractNum>
  <w:abstractNum w:abstractNumId="38">
    <w:nsid w:val="6DFB1379"/>
    <w:multiLevelType w:val="hybridMultilevel"/>
    <w:tmpl w:val="7F3817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F8D3CE1"/>
    <w:multiLevelType w:val="hybridMultilevel"/>
    <w:tmpl w:val="DF4C2444"/>
    <w:lvl w:ilvl="0" w:tplc="CA6A01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21279B0"/>
    <w:multiLevelType w:val="hybridMultilevel"/>
    <w:tmpl w:val="DFB22F82"/>
    <w:lvl w:ilvl="0" w:tplc="040C0001">
      <w:start w:val="1"/>
      <w:numFmt w:val="bullet"/>
      <w:lvlText w:val=""/>
      <w:lvlJc w:val="left"/>
      <w:pPr>
        <w:ind w:left="750" w:hanging="360"/>
      </w:pPr>
      <w:rPr>
        <w:rFonts w:ascii="Symbol" w:hAnsi="Symbol" w:hint="default"/>
      </w:rPr>
    </w:lvl>
    <w:lvl w:ilvl="1" w:tplc="040C0003">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41">
    <w:nsid w:val="73317896"/>
    <w:multiLevelType w:val="hybridMultilevel"/>
    <w:tmpl w:val="4294A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9283F41"/>
    <w:multiLevelType w:val="hybridMultilevel"/>
    <w:tmpl w:val="B30A0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B1401C9"/>
    <w:multiLevelType w:val="hybridMultilevel"/>
    <w:tmpl w:val="70E0C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B373A6D"/>
    <w:multiLevelType w:val="hybridMultilevel"/>
    <w:tmpl w:val="4FB42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EFA0185"/>
    <w:multiLevelType w:val="hybridMultilevel"/>
    <w:tmpl w:val="F340A8C2"/>
    <w:lvl w:ilvl="0" w:tplc="535095D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FB87B76"/>
    <w:multiLevelType w:val="hybridMultilevel"/>
    <w:tmpl w:val="FE4061AC"/>
    <w:lvl w:ilvl="0" w:tplc="ED3CA8F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8"/>
  </w:num>
  <w:num w:numId="3">
    <w:abstractNumId w:val="27"/>
  </w:num>
  <w:num w:numId="4">
    <w:abstractNumId w:val="8"/>
  </w:num>
  <w:num w:numId="5">
    <w:abstractNumId w:val="21"/>
  </w:num>
  <w:num w:numId="6">
    <w:abstractNumId w:val="6"/>
  </w:num>
  <w:num w:numId="7">
    <w:abstractNumId w:val="19"/>
  </w:num>
  <w:num w:numId="8">
    <w:abstractNumId w:val="37"/>
  </w:num>
  <w:num w:numId="9">
    <w:abstractNumId w:val="9"/>
  </w:num>
  <w:num w:numId="10">
    <w:abstractNumId w:val="18"/>
  </w:num>
  <w:num w:numId="11">
    <w:abstractNumId w:val="45"/>
  </w:num>
  <w:num w:numId="12">
    <w:abstractNumId w:val="1"/>
  </w:num>
  <w:num w:numId="13">
    <w:abstractNumId w:val="23"/>
  </w:num>
  <w:num w:numId="14">
    <w:abstractNumId w:val="10"/>
  </w:num>
  <w:num w:numId="15">
    <w:abstractNumId w:val="11"/>
  </w:num>
  <w:num w:numId="16">
    <w:abstractNumId w:val="5"/>
  </w:num>
  <w:num w:numId="17">
    <w:abstractNumId w:val="30"/>
  </w:num>
  <w:num w:numId="18">
    <w:abstractNumId w:val="22"/>
  </w:num>
  <w:num w:numId="19">
    <w:abstractNumId w:val="46"/>
  </w:num>
  <w:num w:numId="20">
    <w:abstractNumId w:val="34"/>
  </w:num>
  <w:num w:numId="21">
    <w:abstractNumId w:val="31"/>
  </w:num>
  <w:num w:numId="22">
    <w:abstractNumId w:val="7"/>
  </w:num>
  <w:num w:numId="23">
    <w:abstractNumId w:val="3"/>
  </w:num>
  <w:num w:numId="24">
    <w:abstractNumId w:val="33"/>
  </w:num>
  <w:num w:numId="25">
    <w:abstractNumId w:val="41"/>
  </w:num>
  <w:num w:numId="26">
    <w:abstractNumId w:val="28"/>
  </w:num>
  <w:num w:numId="27">
    <w:abstractNumId w:val="29"/>
  </w:num>
  <w:num w:numId="28">
    <w:abstractNumId w:val="16"/>
  </w:num>
  <w:num w:numId="29">
    <w:abstractNumId w:val="20"/>
  </w:num>
  <w:num w:numId="30">
    <w:abstractNumId w:val="4"/>
  </w:num>
  <w:num w:numId="31">
    <w:abstractNumId w:val="0"/>
  </w:num>
  <w:num w:numId="32">
    <w:abstractNumId w:val="15"/>
  </w:num>
  <w:num w:numId="33">
    <w:abstractNumId w:val="40"/>
  </w:num>
  <w:num w:numId="34">
    <w:abstractNumId w:val="43"/>
  </w:num>
  <w:num w:numId="35">
    <w:abstractNumId w:val="24"/>
  </w:num>
  <w:num w:numId="36">
    <w:abstractNumId w:val="17"/>
  </w:num>
  <w:num w:numId="37">
    <w:abstractNumId w:val="26"/>
  </w:num>
  <w:num w:numId="38">
    <w:abstractNumId w:val="32"/>
  </w:num>
  <w:num w:numId="39">
    <w:abstractNumId w:val="44"/>
  </w:num>
  <w:num w:numId="40">
    <w:abstractNumId w:val="13"/>
  </w:num>
  <w:num w:numId="41">
    <w:abstractNumId w:val="2"/>
  </w:num>
  <w:num w:numId="42">
    <w:abstractNumId w:val="42"/>
  </w:num>
  <w:num w:numId="43">
    <w:abstractNumId w:val="12"/>
  </w:num>
  <w:num w:numId="44">
    <w:abstractNumId w:val="36"/>
  </w:num>
  <w:num w:numId="45">
    <w:abstractNumId w:val="14"/>
  </w:num>
  <w:num w:numId="46">
    <w:abstractNumId w:val="35"/>
  </w:num>
  <w:num w:numId="47">
    <w:abstractNumId w:val="3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4578"/>
  </w:hdrShapeDefaults>
  <w:footnotePr>
    <w:footnote w:id="-1"/>
    <w:footnote w:id="0"/>
  </w:footnotePr>
  <w:endnotePr>
    <w:endnote w:id="-1"/>
    <w:endnote w:id="0"/>
  </w:endnotePr>
  <w:compat/>
  <w:rsids>
    <w:rsidRoot w:val="00AB5DD6"/>
    <w:rsid w:val="00000784"/>
    <w:rsid w:val="00000B23"/>
    <w:rsid w:val="00000CAA"/>
    <w:rsid w:val="0000167D"/>
    <w:rsid w:val="00002431"/>
    <w:rsid w:val="00002678"/>
    <w:rsid w:val="000042D6"/>
    <w:rsid w:val="00004758"/>
    <w:rsid w:val="00004BE2"/>
    <w:rsid w:val="000071BE"/>
    <w:rsid w:val="000076AA"/>
    <w:rsid w:val="00010B2B"/>
    <w:rsid w:val="00010EC6"/>
    <w:rsid w:val="000121D4"/>
    <w:rsid w:val="0001359D"/>
    <w:rsid w:val="00014CE5"/>
    <w:rsid w:val="00015495"/>
    <w:rsid w:val="00015EE6"/>
    <w:rsid w:val="00017B8A"/>
    <w:rsid w:val="00020F8D"/>
    <w:rsid w:val="000242BA"/>
    <w:rsid w:val="00024C90"/>
    <w:rsid w:val="00024FF7"/>
    <w:rsid w:val="00025261"/>
    <w:rsid w:val="00027C01"/>
    <w:rsid w:val="000302BC"/>
    <w:rsid w:val="000307BD"/>
    <w:rsid w:val="00031CA9"/>
    <w:rsid w:val="00032124"/>
    <w:rsid w:val="00032364"/>
    <w:rsid w:val="00033D0B"/>
    <w:rsid w:val="000348F3"/>
    <w:rsid w:val="00034921"/>
    <w:rsid w:val="00034EB5"/>
    <w:rsid w:val="00035CA9"/>
    <w:rsid w:val="00036555"/>
    <w:rsid w:val="0003733D"/>
    <w:rsid w:val="0003748A"/>
    <w:rsid w:val="000375A3"/>
    <w:rsid w:val="00037BF5"/>
    <w:rsid w:val="00037EA2"/>
    <w:rsid w:val="00037FCD"/>
    <w:rsid w:val="000428EF"/>
    <w:rsid w:val="00042C86"/>
    <w:rsid w:val="000439DE"/>
    <w:rsid w:val="00044097"/>
    <w:rsid w:val="0004459D"/>
    <w:rsid w:val="00044769"/>
    <w:rsid w:val="000459A3"/>
    <w:rsid w:val="00047391"/>
    <w:rsid w:val="00047A0D"/>
    <w:rsid w:val="00050B9E"/>
    <w:rsid w:val="00052C6E"/>
    <w:rsid w:val="00054F35"/>
    <w:rsid w:val="00056846"/>
    <w:rsid w:val="00056C04"/>
    <w:rsid w:val="00056CA6"/>
    <w:rsid w:val="00062FF3"/>
    <w:rsid w:val="00066047"/>
    <w:rsid w:val="0006658F"/>
    <w:rsid w:val="00066CEF"/>
    <w:rsid w:val="0006744A"/>
    <w:rsid w:val="00070AB4"/>
    <w:rsid w:val="0007424F"/>
    <w:rsid w:val="00074AAD"/>
    <w:rsid w:val="00075EF8"/>
    <w:rsid w:val="00077AC7"/>
    <w:rsid w:val="00080719"/>
    <w:rsid w:val="000818A1"/>
    <w:rsid w:val="000828A1"/>
    <w:rsid w:val="00083EE6"/>
    <w:rsid w:val="00084007"/>
    <w:rsid w:val="000854FB"/>
    <w:rsid w:val="00087DE7"/>
    <w:rsid w:val="00092226"/>
    <w:rsid w:val="00093C8B"/>
    <w:rsid w:val="000A5D92"/>
    <w:rsid w:val="000A625E"/>
    <w:rsid w:val="000A6CF6"/>
    <w:rsid w:val="000B026F"/>
    <w:rsid w:val="000B1B81"/>
    <w:rsid w:val="000B459E"/>
    <w:rsid w:val="000B727E"/>
    <w:rsid w:val="000C5E2B"/>
    <w:rsid w:val="000C61E0"/>
    <w:rsid w:val="000C6384"/>
    <w:rsid w:val="000C68BE"/>
    <w:rsid w:val="000C6DA8"/>
    <w:rsid w:val="000C7E92"/>
    <w:rsid w:val="000D1CDE"/>
    <w:rsid w:val="000D3EA9"/>
    <w:rsid w:val="000D685F"/>
    <w:rsid w:val="000E2A01"/>
    <w:rsid w:val="000E4969"/>
    <w:rsid w:val="000E6272"/>
    <w:rsid w:val="000E627B"/>
    <w:rsid w:val="000E78B2"/>
    <w:rsid w:val="000F15D8"/>
    <w:rsid w:val="000F36EA"/>
    <w:rsid w:val="000F4045"/>
    <w:rsid w:val="00101EC7"/>
    <w:rsid w:val="001030A8"/>
    <w:rsid w:val="00104052"/>
    <w:rsid w:val="0010423A"/>
    <w:rsid w:val="00105237"/>
    <w:rsid w:val="00113566"/>
    <w:rsid w:val="00113BE2"/>
    <w:rsid w:val="0011423C"/>
    <w:rsid w:val="00115256"/>
    <w:rsid w:val="001171F6"/>
    <w:rsid w:val="001179D2"/>
    <w:rsid w:val="0012133E"/>
    <w:rsid w:val="00121D72"/>
    <w:rsid w:val="00121F1D"/>
    <w:rsid w:val="00122D2F"/>
    <w:rsid w:val="001231A9"/>
    <w:rsid w:val="00123615"/>
    <w:rsid w:val="00124213"/>
    <w:rsid w:val="00124375"/>
    <w:rsid w:val="00125278"/>
    <w:rsid w:val="0012715F"/>
    <w:rsid w:val="00136B15"/>
    <w:rsid w:val="0014266F"/>
    <w:rsid w:val="00144753"/>
    <w:rsid w:val="00145C69"/>
    <w:rsid w:val="00146971"/>
    <w:rsid w:val="00147884"/>
    <w:rsid w:val="00150C8B"/>
    <w:rsid w:val="001514C3"/>
    <w:rsid w:val="0015193C"/>
    <w:rsid w:val="00151975"/>
    <w:rsid w:val="00152EF9"/>
    <w:rsid w:val="001535AF"/>
    <w:rsid w:val="00153F44"/>
    <w:rsid w:val="00155B83"/>
    <w:rsid w:val="00156469"/>
    <w:rsid w:val="001565FF"/>
    <w:rsid w:val="00163A6C"/>
    <w:rsid w:val="00163B67"/>
    <w:rsid w:val="00163F22"/>
    <w:rsid w:val="00165743"/>
    <w:rsid w:val="00167456"/>
    <w:rsid w:val="001707CC"/>
    <w:rsid w:val="00170D88"/>
    <w:rsid w:val="001717C6"/>
    <w:rsid w:val="0017237B"/>
    <w:rsid w:val="00173E7F"/>
    <w:rsid w:val="00175F6A"/>
    <w:rsid w:val="00176876"/>
    <w:rsid w:val="001776F2"/>
    <w:rsid w:val="001779D1"/>
    <w:rsid w:val="00177E6A"/>
    <w:rsid w:val="00180C3A"/>
    <w:rsid w:val="001816BB"/>
    <w:rsid w:val="00181D22"/>
    <w:rsid w:val="00181DEE"/>
    <w:rsid w:val="00184454"/>
    <w:rsid w:val="00184E92"/>
    <w:rsid w:val="00185895"/>
    <w:rsid w:val="0018705B"/>
    <w:rsid w:val="001871A2"/>
    <w:rsid w:val="001878B9"/>
    <w:rsid w:val="00193DDA"/>
    <w:rsid w:val="00194328"/>
    <w:rsid w:val="001977B3"/>
    <w:rsid w:val="001A0CB7"/>
    <w:rsid w:val="001A113F"/>
    <w:rsid w:val="001A202D"/>
    <w:rsid w:val="001A3F59"/>
    <w:rsid w:val="001B32F2"/>
    <w:rsid w:val="001B33C1"/>
    <w:rsid w:val="001B417C"/>
    <w:rsid w:val="001B4558"/>
    <w:rsid w:val="001B59E4"/>
    <w:rsid w:val="001B6AAB"/>
    <w:rsid w:val="001B6B64"/>
    <w:rsid w:val="001C0C9D"/>
    <w:rsid w:val="001C0E49"/>
    <w:rsid w:val="001C1E2E"/>
    <w:rsid w:val="001C25F9"/>
    <w:rsid w:val="001C2DC3"/>
    <w:rsid w:val="001C3A57"/>
    <w:rsid w:val="001C3CE9"/>
    <w:rsid w:val="001C41AE"/>
    <w:rsid w:val="001C5869"/>
    <w:rsid w:val="001C6391"/>
    <w:rsid w:val="001C6C06"/>
    <w:rsid w:val="001D6475"/>
    <w:rsid w:val="001D7A76"/>
    <w:rsid w:val="001D7E45"/>
    <w:rsid w:val="001E0212"/>
    <w:rsid w:val="001E143C"/>
    <w:rsid w:val="001E27C4"/>
    <w:rsid w:val="001E2844"/>
    <w:rsid w:val="001E511A"/>
    <w:rsid w:val="001E7C17"/>
    <w:rsid w:val="001E7C9E"/>
    <w:rsid w:val="001F2914"/>
    <w:rsid w:val="001F2C0D"/>
    <w:rsid w:val="001F48FB"/>
    <w:rsid w:val="001F4AFF"/>
    <w:rsid w:val="001F79ED"/>
    <w:rsid w:val="0020003C"/>
    <w:rsid w:val="00200236"/>
    <w:rsid w:val="00201974"/>
    <w:rsid w:val="0020352D"/>
    <w:rsid w:val="00205EB1"/>
    <w:rsid w:val="00206149"/>
    <w:rsid w:val="00212872"/>
    <w:rsid w:val="002138B0"/>
    <w:rsid w:val="0021398C"/>
    <w:rsid w:val="002149E5"/>
    <w:rsid w:val="00214F00"/>
    <w:rsid w:val="0021749F"/>
    <w:rsid w:val="00220544"/>
    <w:rsid w:val="002217D4"/>
    <w:rsid w:val="00221941"/>
    <w:rsid w:val="0022796D"/>
    <w:rsid w:val="0023169E"/>
    <w:rsid w:val="00231C6F"/>
    <w:rsid w:val="00232AF9"/>
    <w:rsid w:val="0023398B"/>
    <w:rsid w:val="00237D05"/>
    <w:rsid w:val="00241464"/>
    <w:rsid w:val="00243403"/>
    <w:rsid w:val="00245C9E"/>
    <w:rsid w:val="00246AC3"/>
    <w:rsid w:val="00250147"/>
    <w:rsid w:val="00253E9F"/>
    <w:rsid w:val="00255166"/>
    <w:rsid w:val="00255C95"/>
    <w:rsid w:val="002609EF"/>
    <w:rsid w:val="00261450"/>
    <w:rsid w:val="00263A62"/>
    <w:rsid w:val="00263C8B"/>
    <w:rsid w:val="00264450"/>
    <w:rsid w:val="002660F1"/>
    <w:rsid w:val="0026673B"/>
    <w:rsid w:val="00266EEC"/>
    <w:rsid w:val="00275979"/>
    <w:rsid w:val="0028509F"/>
    <w:rsid w:val="00287099"/>
    <w:rsid w:val="00292F02"/>
    <w:rsid w:val="0029644E"/>
    <w:rsid w:val="00297DF1"/>
    <w:rsid w:val="002A0269"/>
    <w:rsid w:val="002A0744"/>
    <w:rsid w:val="002A152D"/>
    <w:rsid w:val="002A3EE3"/>
    <w:rsid w:val="002A3EE5"/>
    <w:rsid w:val="002A4728"/>
    <w:rsid w:val="002A491B"/>
    <w:rsid w:val="002A6A10"/>
    <w:rsid w:val="002A7239"/>
    <w:rsid w:val="002B056F"/>
    <w:rsid w:val="002B0DB9"/>
    <w:rsid w:val="002B25CC"/>
    <w:rsid w:val="002B3F27"/>
    <w:rsid w:val="002C0064"/>
    <w:rsid w:val="002C253F"/>
    <w:rsid w:val="002C6412"/>
    <w:rsid w:val="002D0C20"/>
    <w:rsid w:val="002D121A"/>
    <w:rsid w:val="002D6A6A"/>
    <w:rsid w:val="002D793B"/>
    <w:rsid w:val="002E5BE2"/>
    <w:rsid w:val="002F0CF0"/>
    <w:rsid w:val="002F6182"/>
    <w:rsid w:val="002F62CF"/>
    <w:rsid w:val="002F64B1"/>
    <w:rsid w:val="002F78A8"/>
    <w:rsid w:val="00301D35"/>
    <w:rsid w:val="00302E7F"/>
    <w:rsid w:val="003039CA"/>
    <w:rsid w:val="0030510D"/>
    <w:rsid w:val="0030573A"/>
    <w:rsid w:val="0031029B"/>
    <w:rsid w:val="003112E1"/>
    <w:rsid w:val="00311557"/>
    <w:rsid w:val="00313E18"/>
    <w:rsid w:val="003152AE"/>
    <w:rsid w:val="00317860"/>
    <w:rsid w:val="00317ED3"/>
    <w:rsid w:val="0032272F"/>
    <w:rsid w:val="00324A5D"/>
    <w:rsid w:val="00325B36"/>
    <w:rsid w:val="00326410"/>
    <w:rsid w:val="00326745"/>
    <w:rsid w:val="0033017E"/>
    <w:rsid w:val="003310CC"/>
    <w:rsid w:val="00333A1E"/>
    <w:rsid w:val="00341678"/>
    <w:rsid w:val="0034205D"/>
    <w:rsid w:val="00342433"/>
    <w:rsid w:val="0034249D"/>
    <w:rsid w:val="00343904"/>
    <w:rsid w:val="00344252"/>
    <w:rsid w:val="003448AB"/>
    <w:rsid w:val="00345BE0"/>
    <w:rsid w:val="00347750"/>
    <w:rsid w:val="00350747"/>
    <w:rsid w:val="003509A5"/>
    <w:rsid w:val="00352BD1"/>
    <w:rsid w:val="003552E7"/>
    <w:rsid w:val="0035718E"/>
    <w:rsid w:val="00357565"/>
    <w:rsid w:val="00362CD0"/>
    <w:rsid w:val="0036378B"/>
    <w:rsid w:val="00364491"/>
    <w:rsid w:val="00365990"/>
    <w:rsid w:val="00367D86"/>
    <w:rsid w:val="00371425"/>
    <w:rsid w:val="00375AD3"/>
    <w:rsid w:val="003774A5"/>
    <w:rsid w:val="003813B4"/>
    <w:rsid w:val="00381776"/>
    <w:rsid w:val="00382F40"/>
    <w:rsid w:val="00384426"/>
    <w:rsid w:val="00384F81"/>
    <w:rsid w:val="003850BE"/>
    <w:rsid w:val="00387EC0"/>
    <w:rsid w:val="003904DE"/>
    <w:rsid w:val="00391004"/>
    <w:rsid w:val="00392455"/>
    <w:rsid w:val="00392883"/>
    <w:rsid w:val="00392C8F"/>
    <w:rsid w:val="0039306B"/>
    <w:rsid w:val="0039516E"/>
    <w:rsid w:val="003A02C7"/>
    <w:rsid w:val="003A2C50"/>
    <w:rsid w:val="003A3A09"/>
    <w:rsid w:val="003A4BB3"/>
    <w:rsid w:val="003A5CEA"/>
    <w:rsid w:val="003A7544"/>
    <w:rsid w:val="003B24E1"/>
    <w:rsid w:val="003B3D5C"/>
    <w:rsid w:val="003B5E91"/>
    <w:rsid w:val="003B6C47"/>
    <w:rsid w:val="003B77D9"/>
    <w:rsid w:val="003C0C88"/>
    <w:rsid w:val="003C1039"/>
    <w:rsid w:val="003C14C4"/>
    <w:rsid w:val="003C23E6"/>
    <w:rsid w:val="003C2E65"/>
    <w:rsid w:val="003D4F71"/>
    <w:rsid w:val="003D654A"/>
    <w:rsid w:val="003E130E"/>
    <w:rsid w:val="003E528B"/>
    <w:rsid w:val="003E5CAF"/>
    <w:rsid w:val="003E7765"/>
    <w:rsid w:val="003E7924"/>
    <w:rsid w:val="003E7F90"/>
    <w:rsid w:val="003F72AF"/>
    <w:rsid w:val="00401FF2"/>
    <w:rsid w:val="00403356"/>
    <w:rsid w:val="00405503"/>
    <w:rsid w:val="00406A7F"/>
    <w:rsid w:val="00407CBE"/>
    <w:rsid w:val="00407F5F"/>
    <w:rsid w:val="00411727"/>
    <w:rsid w:val="00411B22"/>
    <w:rsid w:val="00411C4C"/>
    <w:rsid w:val="00413F0D"/>
    <w:rsid w:val="00420792"/>
    <w:rsid w:val="00421806"/>
    <w:rsid w:val="0042267F"/>
    <w:rsid w:val="0042274B"/>
    <w:rsid w:val="00422987"/>
    <w:rsid w:val="00423D2A"/>
    <w:rsid w:val="004247DB"/>
    <w:rsid w:val="0042682B"/>
    <w:rsid w:val="004273C3"/>
    <w:rsid w:val="0043013A"/>
    <w:rsid w:val="00430B19"/>
    <w:rsid w:val="004314FB"/>
    <w:rsid w:val="00431C1A"/>
    <w:rsid w:val="00431F1F"/>
    <w:rsid w:val="0043313C"/>
    <w:rsid w:val="00440B8F"/>
    <w:rsid w:val="00440C8C"/>
    <w:rsid w:val="004435B8"/>
    <w:rsid w:val="00444935"/>
    <w:rsid w:val="00450DC2"/>
    <w:rsid w:val="00452181"/>
    <w:rsid w:val="004527AD"/>
    <w:rsid w:val="00455A4B"/>
    <w:rsid w:val="004605F5"/>
    <w:rsid w:val="004606B9"/>
    <w:rsid w:val="0046490C"/>
    <w:rsid w:val="00464AAA"/>
    <w:rsid w:val="0046516F"/>
    <w:rsid w:val="00466A38"/>
    <w:rsid w:val="00470FAB"/>
    <w:rsid w:val="00471713"/>
    <w:rsid w:val="00471823"/>
    <w:rsid w:val="00472785"/>
    <w:rsid w:val="0047381C"/>
    <w:rsid w:val="00473E0A"/>
    <w:rsid w:val="00474D19"/>
    <w:rsid w:val="0047590E"/>
    <w:rsid w:val="0047605A"/>
    <w:rsid w:val="00477BAD"/>
    <w:rsid w:val="004817BD"/>
    <w:rsid w:val="0048306B"/>
    <w:rsid w:val="0048745A"/>
    <w:rsid w:val="00491AAE"/>
    <w:rsid w:val="00494795"/>
    <w:rsid w:val="00494ECC"/>
    <w:rsid w:val="004A27E9"/>
    <w:rsid w:val="004A2A18"/>
    <w:rsid w:val="004A4095"/>
    <w:rsid w:val="004A53CD"/>
    <w:rsid w:val="004A58E0"/>
    <w:rsid w:val="004A6D2E"/>
    <w:rsid w:val="004A71C1"/>
    <w:rsid w:val="004B22A0"/>
    <w:rsid w:val="004B3E0F"/>
    <w:rsid w:val="004B49FC"/>
    <w:rsid w:val="004B55EB"/>
    <w:rsid w:val="004B5E06"/>
    <w:rsid w:val="004B6819"/>
    <w:rsid w:val="004C0ED7"/>
    <w:rsid w:val="004C3678"/>
    <w:rsid w:val="004C540D"/>
    <w:rsid w:val="004C5DC2"/>
    <w:rsid w:val="004C5DDE"/>
    <w:rsid w:val="004D0894"/>
    <w:rsid w:val="004D3380"/>
    <w:rsid w:val="004D3A44"/>
    <w:rsid w:val="004D7578"/>
    <w:rsid w:val="004E2AEE"/>
    <w:rsid w:val="004E7039"/>
    <w:rsid w:val="004E7B87"/>
    <w:rsid w:val="004F0230"/>
    <w:rsid w:val="004F21E6"/>
    <w:rsid w:val="004F254C"/>
    <w:rsid w:val="004F47E1"/>
    <w:rsid w:val="004F4DF7"/>
    <w:rsid w:val="00500C6A"/>
    <w:rsid w:val="0050100A"/>
    <w:rsid w:val="005012FA"/>
    <w:rsid w:val="0050190D"/>
    <w:rsid w:val="00501963"/>
    <w:rsid w:val="0050317E"/>
    <w:rsid w:val="005034FC"/>
    <w:rsid w:val="00506958"/>
    <w:rsid w:val="00507DF2"/>
    <w:rsid w:val="00510CD1"/>
    <w:rsid w:val="005117B0"/>
    <w:rsid w:val="0051266C"/>
    <w:rsid w:val="005127F2"/>
    <w:rsid w:val="00512F5E"/>
    <w:rsid w:val="00513396"/>
    <w:rsid w:val="00516FCF"/>
    <w:rsid w:val="00522A02"/>
    <w:rsid w:val="00522A68"/>
    <w:rsid w:val="005238E6"/>
    <w:rsid w:val="0053373B"/>
    <w:rsid w:val="00534206"/>
    <w:rsid w:val="005344A2"/>
    <w:rsid w:val="005358BC"/>
    <w:rsid w:val="005360BC"/>
    <w:rsid w:val="0054244C"/>
    <w:rsid w:val="00542533"/>
    <w:rsid w:val="0054493C"/>
    <w:rsid w:val="005456E6"/>
    <w:rsid w:val="00547929"/>
    <w:rsid w:val="00550AD2"/>
    <w:rsid w:val="00550FB0"/>
    <w:rsid w:val="00551832"/>
    <w:rsid w:val="00552826"/>
    <w:rsid w:val="00552D83"/>
    <w:rsid w:val="00555343"/>
    <w:rsid w:val="0055688B"/>
    <w:rsid w:val="00556FF7"/>
    <w:rsid w:val="0055749E"/>
    <w:rsid w:val="005607F7"/>
    <w:rsid w:val="00564BEE"/>
    <w:rsid w:val="0057232B"/>
    <w:rsid w:val="0057459D"/>
    <w:rsid w:val="0057697E"/>
    <w:rsid w:val="00577575"/>
    <w:rsid w:val="00580358"/>
    <w:rsid w:val="00581B53"/>
    <w:rsid w:val="00582ECD"/>
    <w:rsid w:val="00582EE3"/>
    <w:rsid w:val="0058405F"/>
    <w:rsid w:val="00585CE2"/>
    <w:rsid w:val="00586A49"/>
    <w:rsid w:val="00586F3D"/>
    <w:rsid w:val="00587C32"/>
    <w:rsid w:val="0059539D"/>
    <w:rsid w:val="005953C9"/>
    <w:rsid w:val="0059659B"/>
    <w:rsid w:val="005966B5"/>
    <w:rsid w:val="005A0EFE"/>
    <w:rsid w:val="005A0F24"/>
    <w:rsid w:val="005A1C6F"/>
    <w:rsid w:val="005A3D32"/>
    <w:rsid w:val="005A3F7F"/>
    <w:rsid w:val="005B0612"/>
    <w:rsid w:val="005B14C1"/>
    <w:rsid w:val="005B1833"/>
    <w:rsid w:val="005B23E0"/>
    <w:rsid w:val="005B4F57"/>
    <w:rsid w:val="005B74EF"/>
    <w:rsid w:val="005C0AD2"/>
    <w:rsid w:val="005C494C"/>
    <w:rsid w:val="005D2601"/>
    <w:rsid w:val="005E0B83"/>
    <w:rsid w:val="005E5260"/>
    <w:rsid w:val="005E622F"/>
    <w:rsid w:val="005F0337"/>
    <w:rsid w:val="005F0581"/>
    <w:rsid w:val="005F2050"/>
    <w:rsid w:val="005F244B"/>
    <w:rsid w:val="005F6E42"/>
    <w:rsid w:val="005F6E6B"/>
    <w:rsid w:val="00603729"/>
    <w:rsid w:val="006038B8"/>
    <w:rsid w:val="00605171"/>
    <w:rsid w:val="00614073"/>
    <w:rsid w:val="0061439B"/>
    <w:rsid w:val="00614695"/>
    <w:rsid w:val="00614B74"/>
    <w:rsid w:val="00617A7F"/>
    <w:rsid w:val="006203E3"/>
    <w:rsid w:val="00620B77"/>
    <w:rsid w:val="00622054"/>
    <w:rsid w:val="0062307C"/>
    <w:rsid w:val="00623DEE"/>
    <w:rsid w:val="006241E6"/>
    <w:rsid w:val="00624484"/>
    <w:rsid w:val="006260AA"/>
    <w:rsid w:val="00626B38"/>
    <w:rsid w:val="00631505"/>
    <w:rsid w:val="0063598F"/>
    <w:rsid w:val="0063660F"/>
    <w:rsid w:val="00637F71"/>
    <w:rsid w:val="00642E0E"/>
    <w:rsid w:val="00642F88"/>
    <w:rsid w:val="0064687C"/>
    <w:rsid w:val="006500B0"/>
    <w:rsid w:val="00651560"/>
    <w:rsid w:val="00654A08"/>
    <w:rsid w:val="00655235"/>
    <w:rsid w:val="0065714C"/>
    <w:rsid w:val="00657FCD"/>
    <w:rsid w:val="006602B4"/>
    <w:rsid w:val="0066235C"/>
    <w:rsid w:val="00662A53"/>
    <w:rsid w:val="0066312C"/>
    <w:rsid w:val="006637DF"/>
    <w:rsid w:val="0066449C"/>
    <w:rsid w:val="00664CCB"/>
    <w:rsid w:val="00666092"/>
    <w:rsid w:val="00667A49"/>
    <w:rsid w:val="00667E98"/>
    <w:rsid w:val="00673907"/>
    <w:rsid w:val="00674754"/>
    <w:rsid w:val="0068070E"/>
    <w:rsid w:val="00680C98"/>
    <w:rsid w:val="0068109D"/>
    <w:rsid w:val="00681731"/>
    <w:rsid w:val="006865AE"/>
    <w:rsid w:val="00687A9D"/>
    <w:rsid w:val="00687DAC"/>
    <w:rsid w:val="00687EC0"/>
    <w:rsid w:val="006902A7"/>
    <w:rsid w:val="00691E78"/>
    <w:rsid w:val="006926EC"/>
    <w:rsid w:val="006932CC"/>
    <w:rsid w:val="006932ED"/>
    <w:rsid w:val="00693C7B"/>
    <w:rsid w:val="0069503C"/>
    <w:rsid w:val="006971A9"/>
    <w:rsid w:val="00697763"/>
    <w:rsid w:val="006979DC"/>
    <w:rsid w:val="006A0744"/>
    <w:rsid w:val="006A211F"/>
    <w:rsid w:val="006A2448"/>
    <w:rsid w:val="006A2918"/>
    <w:rsid w:val="006A3B3C"/>
    <w:rsid w:val="006A48E4"/>
    <w:rsid w:val="006A7822"/>
    <w:rsid w:val="006B500F"/>
    <w:rsid w:val="006B5F92"/>
    <w:rsid w:val="006B6140"/>
    <w:rsid w:val="006C363F"/>
    <w:rsid w:val="006C372C"/>
    <w:rsid w:val="006C6BA5"/>
    <w:rsid w:val="006C7253"/>
    <w:rsid w:val="006D09DA"/>
    <w:rsid w:val="006D0D43"/>
    <w:rsid w:val="006D4567"/>
    <w:rsid w:val="006D4FE1"/>
    <w:rsid w:val="006D51B7"/>
    <w:rsid w:val="006D5376"/>
    <w:rsid w:val="006D5DD4"/>
    <w:rsid w:val="006D61D1"/>
    <w:rsid w:val="006D7899"/>
    <w:rsid w:val="006E20EA"/>
    <w:rsid w:val="006E6609"/>
    <w:rsid w:val="006F00AE"/>
    <w:rsid w:val="006F2807"/>
    <w:rsid w:val="006F30E9"/>
    <w:rsid w:val="006F3C65"/>
    <w:rsid w:val="006F7755"/>
    <w:rsid w:val="0070026E"/>
    <w:rsid w:val="00702B9A"/>
    <w:rsid w:val="007039BA"/>
    <w:rsid w:val="00703B06"/>
    <w:rsid w:val="00704B01"/>
    <w:rsid w:val="007054B5"/>
    <w:rsid w:val="00705B4F"/>
    <w:rsid w:val="007066B8"/>
    <w:rsid w:val="00706C62"/>
    <w:rsid w:val="00711720"/>
    <w:rsid w:val="00713061"/>
    <w:rsid w:val="00716364"/>
    <w:rsid w:val="00716630"/>
    <w:rsid w:val="00723702"/>
    <w:rsid w:val="007268EF"/>
    <w:rsid w:val="00731217"/>
    <w:rsid w:val="00732243"/>
    <w:rsid w:val="00734F07"/>
    <w:rsid w:val="00740FE5"/>
    <w:rsid w:val="00744D9C"/>
    <w:rsid w:val="0074662F"/>
    <w:rsid w:val="007467C0"/>
    <w:rsid w:val="0075258C"/>
    <w:rsid w:val="00752C05"/>
    <w:rsid w:val="007566C2"/>
    <w:rsid w:val="00766205"/>
    <w:rsid w:val="00767E84"/>
    <w:rsid w:val="007726A5"/>
    <w:rsid w:val="00772C9C"/>
    <w:rsid w:val="00777EBE"/>
    <w:rsid w:val="007824EB"/>
    <w:rsid w:val="00782E92"/>
    <w:rsid w:val="00785D98"/>
    <w:rsid w:val="00793F82"/>
    <w:rsid w:val="00795279"/>
    <w:rsid w:val="007978FB"/>
    <w:rsid w:val="00797E90"/>
    <w:rsid w:val="007A3036"/>
    <w:rsid w:val="007A5A4D"/>
    <w:rsid w:val="007A5CDD"/>
    <w:rsid w:val="007A62CB"/>
    <w:rsid w:val="007A76A9"/>
    <w:rsid w:val="007A7996"/>
    <w:rsid w:val="007B00FD"/>
    <w:rsid w:val="007B1B25"/>
    <w:rsid w:val="007B3085"/>
    <w:rsid w:val="007B310A"/>
    <w:rsid w:val="007B3A57"/>
    <w:rsid w:val="007B4C2E"/>
    <w:rsid w:val="007B4EA0"/>
    <w:rsid w:val="007B5B68"/>
    <w:rsid w:val="007B6193"/>
    <w:rsid w:val="007C38AF"/>
    <w:rsid w:val="007C42EB"/>
    <w:rsid w:val="007D2161"/>
    <w:rsid w:val="007D49CF"/>
    <w:rsid w:val="007D5926"/>
    <w:rsid w:val="007D5C3B"/>
    <w:rsid w:val="007D5F65"/>
    <w:rsid w:val="007D6373"/>
    <w:rsid w:val="007D7BCE"/>
    <w:rsid w:val="007E3476"/>
    <w:rsid w:val="007E450E"/>
    <w:rsid w:val="007E4986"/>
    <w:rsid w:val="007E6A99"/>
    <w:rsid w:val="007F0CFD"/>
    <w:rsid w:val="007F16DD"/>
    <w:rsid w:val="007F5C61"/>
    <w:rsid w:val="008005B9"/>
    <w:rsid w:val="008011EE"/>
    <w:rsid w:val="00801DE5"/>
    <w:rsid w:val="008026E2"/>
    <w:rsid w:val="00802920"/>
    <w:rsid w:val="00803EA4"/>
    <w:rsid w:val="00804AE6"/>
    <w:rsid w:val="00805EC4"/>
    <w:rsid w:val="00806832"/>
    <w:rsid w:val="00807488"/>
    <w:rsid w:val="00812447"/>
    <w:rsid w:val="0081495D"/>
    <w:rsid w:val="008152F7"/>
    <w:rsid w:val="00817ACB"/>
    <w:rsid w:val="00820C82"/>
    <w:rsid w:val="00822C6D"/>
    <w:rsid w:val="00823145"/>
    <w:rsid w:val="008234EC"/>
    <w:rsid w:val="00823958"/>
    <w:rsid w:val="00824FEA"/>
    <w:rsid w:val="00825F00"/>
    <w:rsid w:val="00827E1A"/>
    <w:rsid w:val="0083117F"/>
    <w:rsid w:val="0083249C"/>
    <w:rsid w:val="0083306E"/>
    <w:rsid w:val="00834566"/>
    <w:rsid w:val="00835B1D"/>
    <w:rsid w:val="00837B63"/>
    <w:rsid w:val="00853FEF"/>
    <w:rsid w:val="00854961"/>
    <w:rsid w:val="00855983"/>
    <w:rsid w:val="00855D09"/>
    <w:rsid w:val="008641E4"/>
    <w:rsid w:val="0086642C"/>
    <w:rsid w:val="008674CB"/>
    <w:rsid w:val="0086797E"/>
    <w:rsid w:val="00870F0C"/>
    <w:rsid w:val="008753A2"/>
    <w:rsid w:val="0087569E"/>
    <w:rsid w:val="00875BE8"/>
    <w:rsid w:val="00875C17"/>
    <w:rsid w:val="0088142A"/>
    <w:rsid w:val="00881AE2"/>
    <w:rsid w:val="0088507C"/>
    <w:rsid w:val="0089163C"/>
    <w:rsid w:val="008945CF"/>
    <w:rsid w:val="00894E24"/>
    <w:rsid w:val="008950E2"/>
    <w:rsid w:val="00896101"/>
    <w:rsid w:val="00896B48"/>
    <w:rsid w:val="008A3AA4"/>
    <w:rsid w:val="008A4E10"/>
    <w:rsid w:val="008B0730"/>
    <w:rsid w:val="008B320E"/>
    <w:rsid w:val="008B374F"/>
    <w:rsid w:val="008B4F82"/>
    <w:rsid w:val="008B52C3"/>
    <w:rsid w:val="008B6993"/>
    <w:rsid w:val="008B7BFE"/>
    <w:rsid w:val="008C77FD"/>
    <w:rsid w:val="008D18C0"/>
    <w:rsid w:val="008D533A"/>
    <w:rsid w:val="008E00FC"/>
    <w:rsid w:val="008E1B71"/>
    <w:rsid w:val="008E3EC0"/>
    <w:rsid w:val="008E4996"/>
    <w:rsid w:val="008E67A3"/>
    <w:rsid w:val="008F1208"/>
    <w:rsid w:val="008F1221"/>
    <w:rsid w:val="008F2D78"/>
    <w:rsid w:val="008F3D2C"/>
    <w:rsid w:val="008F5AEF"/>
    <w:rsid w:val="009011C1"/>
    <w:rsid w:val="0090299F"/>
    <w:rsid w:val="00903ACF"/>
    <w:rsid w:val="009055B7"/>
    <w:rsid w:val="00907193"/>
    <w:rsid w:val="00910334"/>
    <w:rsid w:val="0091068C"/>
    <w:rsid w:val="00912E97"/>
    <w:rsid w:val="009157CE"/>
    <w:rsid w:val="009168F4"/>
    <w:rsid w:val="00916B16"/>
    <w:rsid w:val="009202A0"/>
    <w:rsid w:val="00920B7D"/>
    <w:rsid w:val="00921920"/>
    <w:rsid w:val="00925C17"/>
    <w:rsid w:val="00927596"/>
    <w:rsid w:val="009316A1"/>
    <w:rsid w:val="00931A23"/>
    <w:rsid w:val="00933383"/>
    <w:rsid w:val="0093393F"/>
    <w:rsid w:val="00934D01"/>
    <w:rsid w:val="00935559"/>
    <w:rsid w:val="0094263F"/>
    <w:rsid w:val="00942D5F"/>
    <w:rsid w:val="009441A2"/>
    <w:rsid w:val="00944B2C"/>
    <w:rsid w:val="00951777"/>
    <w:rsid w:val="00951BF9"/>
    <w:rsid w:val="00954728"/>
    <w:rsid w:val="00954F66"/>
    <w:rsid w:val="0096158A"/>
    <w:rsid w:val="0096381E"/>
    <w:rsid w:val="009712F9"/>
    <w:rsid w:val="00971430"/>
    <w:rsid w:val="0097320A"/>
    <w:rsid w:val="00976538"/>
    <w:rsid w:val="00976833"/>
    <w:rsid w:val="00980D55"/>
    <w:rsid w:val="00980DF9"/>
    <w:rsid w:val="009812D1"/>
    <w:rsid w:val="00981BF5"/>
    <w:rsid w:val="00982566"/>
    <w:rsid w:val="00984CDB"/>
    <w:rsid w:val="009851CC"/>
    <w:rsid w:val="00985A3D"/>
    <w:rsid w:val="0098651C"/>
    <w:rsid w:val="00990D79"/>
    <w:rsid w:val="009915B2"/>
    <w:rsid w:val="009969D4"/>
    <w:rsid w:val="00996C05"/>
    <w:rsid w:val="009A026B"/>
    <w:rsid w:val="009A0278"/>
    <w:rsid w:val="009A0608"/>
    <w:rsid w:val="009A217B"/>
    <w:rsid w:val="009A3F84"/>
    <w:rsid w:val="009A43D6"/>
    <w:rsid w:val="009A4581"/>
    <w:rsid w:val="009A4774"/>
    <w:rsid w:val="009A5A5D"/>
    <w:rsid w:val="009A7AC6"/>
    <w:rsid w:val="009B1E03"/>
    <w:rsid w:val="009B2610"/>
    <w:rsid w:val="009B4AA0"/>
    <w:rsid w:val="009B51C4"/>
    <w:rsid w:val="009B5C24"/>
    <w:rsid w:val="009C0B87"/>
    <w:rsid w:val="009C1AED"/>
    <w:rsid w:val="009C2C24"/>
    <w:rsid w:val="009C663F"/>
    <w:rsid w:val="009D0D84"/>
    <w:rsid w:val="009D1C8D"/>
    <w:rsid w:val="009D208C"/>
    <w:rsid w:val="009D48F3"/>
    <w:rsid w:val="009D6634"/>
    <w:rsid w:val="009E3269"/>
    <w:rsid w:val="009E3D12"/>
    <w:rsid w:val="009E6963"/>
    <w:rsid w:val="009F1D63"/>
    <w:rsid w:val="009F1D76"/>
    <w:rsid w:val="009F1DEC"/>
    <w:rsid w:val="009F3E27"/>
    <w:rsid w:val="009F3FB2"/>
    <w:rsid w:val="009F5867"/>
    <w:rsid w:val="009F5ED8"/>
    <w:rsid w:val="009F682A"/>
    <w:rsid w:val="00A01287"/>
    <w:rsid w:val="00A02F58"/>
    <w:rsid w:val="00A15560"/>
    <w:rsid w:val="00A1687D"/>
    <w:rsid w:val="00A16CB5"/>
    <w:rsid w:val="00A1744B"/>
    <w:rsid w:val="00A212FC"/>
    <w:rsid w:val="00A2131C"/>
    <w:rsid w:val="00A21BE4"/>
    <w:rsid w:val="00A222D9"/>
    <w:rsid w:val="00A241A1"/>
    <w:rsid w:val="00A24F91"/>
    <w:rsid w:val="00A26F50"/>
    <w:rsid w:val="00A340DF"/>
    <w:rsid w:val="00A35E64"/>
    <w:rsid w:val="00A35F04"/>
    <w:rsid w:val="00A36566"/>
    <w:rsid w:val="00A367DE"/>
    <w:rsid w:val="00A374B5"/>
    <w:rsid w:val="00A37E93"/>
    <w:rsid w:val="00A42A47"/>
    <w:rsid w:val="00A44487"/>
    <w:rsid w:val="00A45F90"/>
    <w:rsid w:val="00A47CB6"/>
    <w:rsid w:val="00A47DA9"/>
    <w:rsid w:val="00A52234"/>
    <w:rsid w:val="00A53CC9"/>
    <w:rsid w:val="00A54D7C"/>
    <w:rsid w:val="00A55502"/>
    <w:rsid w:val="00A57B26"/>
    <w:rsid w:val="00A57D0B"/>
    <w:rsid w:val="00A6022E"/>
    <w:rsid w:val="00A60D46"/>
    <w:rsid w:val="00A60D9D"/>
    <w:rsid w:val="00A60DF0"/>
    <w:rsid w:val="00A61A4C"/>
    <w:rsid w:val="00A61F42"/>
    <w:rsid w:val="00A638EF"/>
    <w:rsid w:val="00A65992"/>
    <w:rsid w:val="00A6693B"/>
    <w:rsid w:val="00A67A10"/>
    <w:rsid w:val="00A67D82"/>
    <w:rsid w:val="00A70E28"/>
    <w:rsid w:val="00A725E1"/>
    <w:rsid w:val="00A7548C"/>
    <w:rsid w:val="00A77222"/>
    <w:rsid w:val="00A8001A"/>
    <w:rsid w:val="00A808B9"/>
    <w:rsid w:val="00A8140F"/>
    <w:rsid w:val="00A83EAF"/>
    <w:rsid w:val="00A84895"/>
    <w:rsid w:val="00A84908"/>
    <w:rsid w:val="00A850EC"/>
    <w:rsid w:val="00A85412"/>
    <w:rsid w:val="00A86928"/>
    <w:rsid w:val="00A876FC"/>
    <w:rsid w:val="00A90D4D"/>
    <w:rsid w:val="00A91AB2"/>
    <w:rsid w:val="00A92D3F"/>
    <w:rsid w:val="00A93BD8"/>
    <w:rsid w:val="00AA063E"/>
    <w:rsid w:val="00AA1A8C"/>
    <w:rsid w:val="00AA3611"/>
    <w:rsid w:val="00AA3687"/>
    <w:rsid w:val="00AA6575"/>
    <w:rsid w:val="00AB0BFE"/>
    <w:rsid w:val="00AB4568"/>
    <w:rsid w:val="00AB5024"/>
    <w:rsid w:val="00AB5DD6"/>
    <w:rsid w:val="00AB6E17"/>
    <w:rsid w:val="00AB7103"/>
    <w:rsid w:val="00AC0D80"/>
    <w:rsid w:val="00AC0DEE"/>
    <w:rsid w:val="00AC1F07"/>
    <w:rsid w:val="00AC2AA4"/>
    <w:rsid w:val="00AC353D"/>
    <w:rsid w:val="00AC4CA6"/>
    <w:rsid w:val="00AC4EB1"/>
    <w:rsid w:val="00AC504B"/>
    <w:rsid w:val="00AC7C01"/>
    <w:rsid w:val="00AD0177"/>
    <w:rsid w:val="00AD1781"/>
    <w:rsid w:val="00AD2045"/>
    <w:rsid w:val="00AD32CC"/>
    <w:rsid w:val="00AD7AB2"/>
    <w:rsid w:val="00AD7DFC"/>
    <w:rsid w:val="00AE1B33"/>
    <w:rsid w:val="00AE2471"/>
    <w:rsid w:val="00AE2620"/>
    <w:rsid w:val="00AE3FB3"/>
    <w:rsid w:val="00AE495A"/>
    <w:rsid w:val="00AE52F4"/>
    <w:rsid w:val="00AE582A"/>
    <w:rsid w:val="00AE5CB0"/>
    <w:rsid w:val="00AF08FA"/>
    <w:rsid w:val="00AF1174"/>
    <w:rsid w:val="00AF7872"/>
    <w:rsid w:val="00AF7D8A"/>
    <w:rsid w:val="00B03FB0"/>
    <w:rsid w:val="00B04A28"/>
    <w:rsid w:val="00B11713"/>
    <w:rsid w:val="00B13263"/>
    <w:rsid w:val="00B1552F"/>
    <w:rsid w:val="00B177AD"/>
    <w:rsid w:val="00B17FBE"/>
    <w:rsid w:val="00B2084A"/>
    <w:rsid w:val="00B21875"/>
    <w:rsid w:val="00B22001"/>
    <w:rsid w:val="00B2300C"/>
    <w:rsid w:val="00B24088"/>
    <w:rsid w:val="00B30D62"/>
    <w:rsid w:val="00B31E10"/>
    <w:rsid w:val="00B333BD"/>
    <w:rsid w:val="00B341F8"/>
    <w:rsid w:val="00B36476"/>
    <w:rsid w:val="00B366FE"/>
    <w:rsid w:val="00B36EA5"/>
    <w:rsid w:val="00B41B3B"/>
    <w:rsid w:val="00B41F25"/>
    <w:rsid w:val="00B4217E"/>
    <w:rsid w:val="00B42F77"/>
    <w:rsid w:val="00B44385"/>
    <w:rsid w:val="00B45904"/>
    <w:rsid w:val="00B53501"/>
    <w:rsid w:val="00B55682"/>
    <w:rsid w:val="00B633BE"/>
    <w:rsid w:val="00B6481D"/>
    <w:rsid w:val="00B65616"/>
    <w:rsid w:val="00B65CF8"/>
    <w:rsid w:val="00B65EF3"/>
    <w:rsid w:val="00B6745D"/>
    <w:rsid w:val="00B70BFE"/>
    <w:rsid w:val="00B70CFE"/>
    <w:rsid w:val="00B728EC"/>
    <w:rsid w:val="00B72B2F"/>
    <w:rsid w:val="00B802FF"/>
    <w:rsid w:val="00B80477"/>
    <w:rsid w:val="00B81835"/>
    <w:rsid w:val="00B82384"/>
    <w:rsid w:val="00B83383"/>
    <w:rsid w:val="00B84F6A"/>
    <w:rsid w:val="00B865EC"/>
    <w:rsid w:val="00B9098F"/>
    <w:rsid w:val="00B91AC8"/>
    <w:rsid w:val="00B91AF7"/>
    <w:rsid w:val="00B91B52"/>
    <w:rsid w:val="00B92A00"/>
    <w:rsid w:val="00B93434"/>
    <w:rsid w:val="00B969FE"/>
    <w:rsid w:val="00B96B5E"/>
    <w:rsid w:val="00B97BD6"/>
    <w:rsid w:val="00BA2FDE"/>
    <w:rsid w:val="00BA5B05"/>
    <w:rsid w:val="00BB3004"/>
    <w:rsid w:val="00BB398D"/>
    <w:rsid w:val="00BB6A1A"/>
    <w:rsid w:val="00BC3E14"/>
    <w:rsid w:val="00BD0B0C"/>
    <w:rsid w:val="00BD12D9"/>
    <w:rsid w:val="00BD4F35"/>
    <w:rsid w:val="00BD5261"/>
    <w:rsid w:val="00BD6143"/>
    <w:rsid w:val="00BE00DA"/>
    <w:rsid w:val="00BE40F5"/>
    <w:rsid w:val="00BE41A5"/>
    <w:rsid w:val="00BE591A"/>
    <w:rsid w:val="00BE6186"/>
    <w:rsid w:val="00BE738B"/>
    <w:rsid w:val="00BF17E1"/>
    <w:rsid w:val="00BF2E70"/>
    <w:rsid w:val="00BF5406"/>
    <w:rsid w:val="00BF5698"/>
    <w:rsid w:val="00BF60AC"/>
    <w:rsid w:val="00BF68EB"/>
    <w:rsid w:val="00C01550"/>
    <w:rsid w:val="00C02B48"/>
    <w:rsid w:val="00C035C5"/>
    <w:rsid w:val="00C052BA"/>
    <w:rsid w:val="00C12CD2"/>
    <w:rsid w:val="00C14F82"/>
    <w:rsid w:val="00C16F10"/>
    <w:rsid w:val="00C2310E"/>
    <w:rsid w:val="00C25298"/>
    <w:rsid w:val="00C25B34"/>
    <w:rsid w:val="00C2609A"/>
    <w:rsid w:val="00C263F6"/>
    <w:rsid w:val="00C307BC"/>
    <w:rsid w:val="00C3157E"/>
    <w:rsid w:val="00C31708"/>
    <w:rsid w:val="00C31E0A"/>
    <w:rsid w:val="00C34124"/>
    <w:rsid w:val="00C3413A"/>
    <w:rsid w:val="00C3676F"/>
    <w:rsid w:val="00C37154"/>
    <w:rsid w:val="00C377BA"/>
    <w:rsid w:val="00C44527"/>
    <w:rsid w:val="00C479EF"/>
    <w:rsid w:val="00C50E99"/>
    <w:rsid w:val="00C52C4B"/>
    <w:rsid w:val="00C566B9"/>
    <w:rsid w:val="00C57B97"/>
    <w:rsid w:val="00C62FE7"/>
    <w:rsid w:val="00C6454B"/>
    <w:rsid w:val="00C658DB"/>
    <w:rsid w:val="00C7211E"/>
    <w:rsid w:val="00C727A7"/>
    <w:rsid w:val="00C74B06"/>
    <w:rsid w:val="00C74D8B"/>
    <w:rsid w:val="00C75357"/>
    <w:rsid w:val="00C75481"/>
    <w:rsid w:val="00C82926"/>
    <w:rsid w:val="00C8312A"/>
    <w:rsid w:val="00C84237"/>
    <w:rsid w:val="00C871DB"/>
    <w:rsid w:val="00C91168"/>
    <w:rsid w:val="00C931BC"/>
    <w:rsid w:val="00C97CB7"/>
    <w:rsid w:val="00C97F2F"/>
    <w:rsid w:val="00CA0DD7"/>
    <w:rsid w:val="00CA35D0"/>
    <w:rsid w:val="00CA3A88"/>
    <w:rsid w:val="00CA4058"/>
    <w:rsid w:val="00CA4788"/>
    <w:rsid w:val="00CA77AE"/>
    <w:rsid w:val="00CA7E70"/>
    <w:rsid w:val="00CB2D54"/>
    <w:rsid w:val="00CB433B"/>
    <w:rsid w:val="00CB5ADF"/>
    <w:rsid w:val="00CB5B9E"/>
    <w:rsid w:val="00CB662F"/>
    <w:rsid w:val="00CB7E05"/>
    <w:rsid w:val="00CC00C6"/>
    <w:rsid w:val="00CC26B7"/>
    <w:rsid w:val="00CC7937"/>
    <w:rsid w:val="00CD1DF0"/>
    <w:rsid w:val="00CD526C"/>
    <w:rsid w:val="00CD7B82"/>
    <w:rsid w:val="00CE1B83"/>
    <w:rsid w:val="00CE31F3"/>
    <w:rsid w:val="00CE376D"/>
    <w:rsid w:val="00CE3943"/>
    <w:rsid w:val="00CE4554"/>
    <w:rsid w:val="00CE4DD6"/>
    <w:rsid w:val="00CF0A74"/>
    <w:rsid w:val="00CF4985"/>
    <w:rsid w:val="00CF62E3"/>
    <w:rsid w:val="00D018E1"/>
    <w:rsid w:val="00D01EB2"/>
    <w:rsid w:val="00D0241C"/>
    <w:rsid w:val="00D0496E"/>
    <w:rsid w:val="00D064B5"/>
    <w:rsid w:val="00D10A4B"/>
    <w:rsid w:val="00D1344C"/>
    <w:rsid w:val="00D13763"/>
    <w:rsid w:val="00D20500"/>
    <w:rsid w:val="00D25AD7"/>
    <w:rsid w:val="00D31B5C"/>
    <w:rsid w:val="00D329AD"/>
    <w:rsid w:val="00D35053"/>
    <w:rsid w:val="00D35722"/>
    <w:rsid w:val="00D3597B"/>
    <w:rsid w:val="00D408E5"/>
    <w:rsid w:val="00D40C0B"/>
    <w:rsid w:val="00D41219"/>
    <w:rsid w:val="00D43A6D"/>
    <w:rsid w:val="00D44329"/>
    <w:rsid w:val="00D446E5"/>
    <w:rsid w:val="00D542B0"/>
    <w:rsid w:val="00D5460B"/>
    <w:rsid w:val="00D54DBC"/>
    <w:rsid w:val="00D57133"/>
    <w:rsid w:val="00D6195C"/>
    <w:rsid w:val="00D61CDE"/>
    <w:rsid w:val="00D63010"/>
    <w:rsid w:val="00D632EC"/>
    <w:rsid w:val="00D64B42"/>
    <w:rsid w:val="00D64F7A"/>
    <w:rsid w:val="00D6668A"/>
    <w:rsid w:val="00D70E11"/>
    <w:rsid w:val="00D71500"/>
    <w:rsid w:val="00D71CE0"/>
    <w:rsid w:val="00D71F10"/>
    <w:rsid w:val="00D76ADD"/>
    <w:rsid w:val="00D77365"/>
    <w:rsid w:val="00D80620"/>
    <w:rsid w:val="00D83598"/>
    <w:rsid w:val="00D8389D"/>
    <w:rsid w:val="00D8476B"/>
    <w:rsid w:val="00D86554"/>
    <w:rsid w:val="00D9164D"/>
    <w:rsid w:val="00D91A4E"/>
    <w:rsid w:val="00D94034"/>
    <w:rsid w:val="00D95122"/>
    <w:rsid w:val="00D97709"/>
    <w:rsid w:val="00DA475C"/>
    <w:rsid w:val="00DA5EA5"/>
    <w:rsid w:val="00DA68C0"/>
    <w:rsid w:val="00DB4733"/>
    <w:rsid w:val="00DC257D"/>
    <w:rsid w:val="00DC2627"/>
    <w:rsid w:val="00DC44CE"/>
    <w:rsid w:val="00DC65EC"/>
    <w:rsid w:val="00DC69FD"/>
    <w:rsid w:val="00DD0963"/>
    <w:rsid w:val="00DD0D16"/>
    <w:rsid w:val="00DD3A27"/>
    <w:rsid w:val="00DD473C"/>
    <w:rsid w:val="00DD61FF"/>
    <w:rsid w:val="00DD6732"/>
    <w:rsid w:val="00DD6B34"/>
    <w:rsid w:val="00DE07F9"/>
    <w:rsid w:val="00DE2554"/>
    <w:rsid w:val="00DE3782"/>
    <w:rsid w:val="00DE3844"/>
    <w:rsid w:val="00DE3AC3"/>
    <w:rsid w:val="00DE3DE2"/>
    <w:rsid w:val="00DF3063"/>
    <w:rsid w:val="00DF30E1"/>
    <w:rsid w:val="00DF4819"/>
    <w:rsid w:val="00DF56A3"/>
    <w:rsid w:val="00DF5AD4"/>
    <w:rsid w:val="00DF604D"/>
    <w:rsid w:val="00DF7710"/>
    <w:rsid w:val="00E016CC"/>
    <w:rsid w:val="00E020A6"/>
    <w:rsid w:val="00E07CB3"/>
    <w:rsid w:val="00E10B2A"/>
    <w:rsid w:val="00E1728C"/>
    <w:rsid w:val="00E17EA6"/>
    <w:rsid w:val="00E217EC"/>
    <w:rsid w:val="00E24AD5"/>
    <w:rsid w:val="00E26222"/>
    <w:rsid w:val="00E26923"/>
    <w:rsid w:val="00E27ADC"/>
    <w:rsid w:val="00E27F6C"/>
    <w:rsid w:val="00E309CB"/>
    <w:rsid w:val="00E34303"/>
    <w:rsid w:val="00E346AE"/>
    <w:rsid w:val="00E346B8"/>
    <w:rsid w:val="00E41760"/>
    <w:rsid w:val="00E4349D"/>
    <w:rsid w:val="00E454EA"/>
    <w:rsid w:val="00E46664"/>
    <w:rsid w:val="00E475CA"/>
    <w:rsid w:val="00E504F4"/>
    <w:rsid w:val="00E54312"/>
    <w:rsid w:val="00E61DE4"/>
    <w:rsid w:val="00E6259E"/>
    <w:rsid w:val="00E62959"/>
    <w:rsid w:val="00E62D8E"/>
    <w:rsid w:val="00E62FA6"/>
    <w:rsid w:val="00E630A8"/>
    <w:rsid w:val="00E63ED8"/>
    <w:rsid w:val="00E7276C"/>
    <w:rsid w:val="00E72C35"/>
    <w:rsid w:val="00E73763"/>
    <w:rsid w:val="00E7474D"/>
    <w:rsid w:val="00E755ED"/>
    <w:rsid w:val="00E76A92"/>
    <w:rsid w:val="00E779D5"/>
    <w:rsid w:val="00E80814"/>
    <w:rsid w:val="00E80E00"/>
    <w:rsid w:val="00E814C6"/>
    <w:rsid w:val="00E83613"/>
    <w:rsid w:val="00E839B8"/>
    <w:rsid w:val="00E83F2F"/>
    <w:rsid w:val="00E861BD"/>
    <w:rsid w:val="00E8679A"/>
    <w:rsid w:val="00E86FC0"/>
    <w:rsid w:val="00E87833"/>
    <w:rsid w:val="00E87CE7"/>
    <w:rsid w:val="00E91A67"/>
    <w:rsid w:val="00E9504E"/>
    <w:rsid w:val="00E9587D"/>
    <w:rsid w:val="00EA08CB"/>
    <w:rsid w:val="00EA0BD5"/>
    <w:rsid w:val="00EA190C"/>
    <w:rsid w:val="00EA2025"/>
    <w:rsid w:val="00EA2C5E"/>
    <w:rsid w:val="00EA2F3C"/>
    <w:rsid w:val="00EA70D4"/>
    <w:rsid w:val="00EB3BCA"/>
    <w:rsid w:val="00EB45DE"/>
    <w:rsid w:val="00EB4750"/>
    <w:rsid w:val="00EB52C5"/>
    <w:rsid w:val="00EB6602"/>
    <w:rsid w:val="00EC081F"/>
    <w:rsid w:val="00EC2182"/>
    <w:rsid w:val="00EC361A"/>
    <w:rsid w:val="00EC4025"/>
    <w:rsid w:val="00EC6681"/>
    <w:rsid w:val="00ED017B"/>
    <w:rsid w:val="00ED17E4"/>
    <w:rsid w:val="00ED1921"/>
    <w:rsid w:val="00ED1A07"/>
    <w:rsid w:val="00ED20A5"/>
    <w:rsid w:val="00ED27E2"/>
    <w:rsid w:val="00ED4E91"/>
    <w:rsid w:val="00ED656A"/>
    <w:rsid w:val="00EE29AF"/>
    <w:rsid w:val="00EF0783"/>
    <w:rsid w:val="00EF0796"/>
    <w:rsid w:val="00EF1276"/>
    <w:rsid w:val="00EF1E0E"/>
    <w:rsid w:val="00EF2160"/>
    <w:rsid w:val="00EF39D3"/>
    <w:rsid w:val="00EF55E4"/>
    <w:rsid w:val="00F00514"/>
    <w:rsid w:val="00F0180A"/>
    <w:rsid w:val="00F05AC2"/>
    <w:rsid w:val="00F12964"/>
    <w:rsid w:val="00F179C2"/>
    <w:rsid w:val="00F21115"/>
    <w:rsid w:val="00F21819"/>
    <w:rsid w:val="00F22F0D"/>
    <w:rsid w:val="00F24058"/>
    <w:rsid w:val="00F25CFE"/>
    <w:rsid w:val="00F260F2"/>
    <w:rsid w:val="00F27684"/>
    <w:rsid w:val="00F31974"/>
    <w:rsid w:val="00F3238B"/>
    <w:rsid w:val="00F337C3"/>
    <w:rsid w:val="00F3380F"/>
    <w:rsid w:val="00F37140"/>
    <w:rsid w:val="00F413FB"/>
    <w:rsid w:val="00F428DC"/>
    <w:rsid w:val="00F4311F"/>
    <w:rsid w:val="00F4445E"/>
    <w:rsid w:val="00F449A2"/>
    <w:rsid w:val="00F4601B"/>
    <w:rsid w:val="00F46685"/>
    <w:rsid w:val="00F47C6A"/>
    <w:rsid w:val="00F47ECF"/>
    <w:rsid w:val="00F50F2B"/>
    <w:rsid w:val="00F51F57"/>
    <w:rsid w:val="00F53CCC"/>
    <w:rsid w:val="00F551EF"/>
    <w:rsid w:val="00F604CA"/>
    <w:rsid w:val="00F61EFC"/>
    <w:rsid w:val="00F64126"/>
    <w:rsid w:val="00F6514C"/>
    <w:rsid w:val="00F65F79"/>
    <w:rsid w:val="00F66FC9"/>
    <w:rsid w:val="00F70394"/>
    <w:rsid w:val="00F71476"/>
    <w:rsid w:val="00F72554"/>
    <w:rsid w:val="00F7430C"/>
    <w:rsid w:val="00F74476"/>
    <w:rsid w:val="00F74690"/>
    <w:rsid w:val="00F75266"/>
    <w:rsid w:val="00F75449"/>
    <w:rsid w:val="00F77C08"/>
    <w:rsid w:val="00F80CE1"/>
    <w:rsid w:val="00F81D1B"/>
    <w:rsid w:val="00F82A2F"/>
    <w:rsid w:val="00F82E55"/>
    <w:rsid w:val="00F83733"/>
    <w:rsid w:val="00F839E4"/>
    <w:rsid w:val="00F879D2"/>
    <w:rsid w:val="00F91DEC"/>
    <w:rsid w:val="00F97B5D"/>
    <w:rsid w:val="00FA09CF"/>
    <w:rsid w:val="00FA1F56"/>
    <w:rsid w:val="00FA2F72"/>
    <w:rsid w:val="00FA34D5"/>
    <w:rsid w:val="00FA5185"/>
    <w:rsid w:val="00FA62DA"/>
    <w:rsid w:val="00FA7C91"/>
    <w:rsid w:val="00FB01FA"/>
    <w:rsid w:val="00FB0961"/>
    <w:rsid w:val="00FB1FB8"/>
    <w:rsid w:val="00FB66DA"/>
    <w:rsid w:val="00FB7A35"/>
    <w:rsid w:val="00FB7EDA"/>
    <w:rsid w:val="00FC043D"/>
    <w:rsid w:val="00FC54B1"/>
    <w:rsid w:val="00FC5828"/>
    <w:rsid w:val="00FC7CC9"/>
    <w:rsid w:val="00FD0AE7"/>
    <w:rsid w:val="00FD128C"/>
    <w:rsid w:val="00FD15E9"/>
    <w:rsid w:val="00FD4011"/>
    <w:rsid w:val="00FD4353"/>
    <w:rsid w:val="00FE068A"/>
    <w:rsid w:val="00FE06D7"/>
    <w:rsid w:val="00FE22BA"/>
    <w:rsid w:val="00FE3591"/>
    <w:rsid w:val="00FE364B"/>
    <w:rsid w:val="00FE4C20"/>
    <w:rsid w:val="00FE57B6"/>
    <w:rsid w:val="00FE58CF"/>
    <w:rsid w:val="00FF19FD"/>
    <w:rsid w:val="00FF22CC"/>
    <w:rsid w:val="00FF315B"/>
    <w:rsid w:val="00FF4C16"/>
    <w:rsid w:val="00FF59BE"/>
    <w:rsid w:val="00FF74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DD6"/>
    <w:rPr>
      <w:sz w:val="24"/>
      <w:szCs w:val="24"/>
      <w:lang w:eastAsia="en-US"/>
    </w:rPr>
  </w:style>
  <w:style w:type="paragraph" w:styleId="Titre1">
    <w:name w:val="heading 1"/>
    <w:basedOn w:val="Normal"/>
    <w:next w:val="Normal"/>
    <w:link w:val="Titre1Car1"/>
    <w:autoRedefine/>
    <w:qFormat/>
    <w:rsid w:val="00DD0963"/>
    <w:pPr>
      <w:shd w:val="clear" w:color="auto" w:fill="CC99FF"/>
      <w:outlineLvl w:val="0"/>
    </w:pPr>
    <w:rPr>
      <w:rFonts w:ascii="Arial Gras" w:eastAsia="Calibri" w:hAnsi="Arial Gras"/>
      <w:b/>
      <w:bCs/>
      <w:sz w:val="32"/>
      <w:szCs w:val="20"/>
    </w:rPr>
  </w:style>
  <w:style w:type="paragraph" w:styleId="Titre2">
    <w:name w:val="heading 2"/>
    <w:basedOn w:val="Normal"/>
    <w:next w:val="Normal"/>
    <w:link w:val="Titre2Car1"/>
    <w:autoRedefine/>
    <w:qFormat/>
    <w:rsid w:val="00DD0963"/>
    <w:pPr>
      <w:keepNext/>
      <w:numPr>
        <w:ilvl w:val="1"/>
        <w:numId w:val="1"/>
      </w:numPr>
      <w:spacing w:before="240" w:after="60"/>
      <w:outlineLvl w:val="1"/>
    </w:pPr>
    <w:rPr>
      <w:rFonts w:ascii="Arial Gras" w:eastAsia="Calibri" w:hAnsi="Arial Gras" w:cs="Arial"/>
      <w:b/>
      <w:i/>
      <w:iCs/>
      <w:color w:val="800080"/>
      <w:sz w:val="28"/>
      <w:szCs w:val="28"/>
    </w:rPr>
  </w:style>
  <w:style w:type="paragraph" w:styleId="Titre3">
    <w:name w:val="heading 3"/>
    <w:basedOn w:val="Normal"/>
    <w:next w:val="Normal"/>
    <w:link w:val="Titre3Car"/>
    <w:autoRedefine/>
    <w:qFormat/>
    <w:rsid w:val="00A44487"/>
    <w:pPr>
      <w:keepNext/>
      <w:spacing w:before="240" w:after="60"/>
      <w:ind w:left="851"/>
      <w:outlineLvl w:val="2"/>
    </w:pPr>
    <w:rPr>
      <w:rFonts w:ascii="Arial" w:hAnsi="Arial" w:cs="Arial"/>
      <w:b/>
      <w:sz w:val="22"/>
      <w:szCs w:val="26"/>
    </w:rPr>
  </w:style>
  <w:style w:type="paragraph" w:styleId="Titre4">
    <w:name w:val="heading 4"/>
    <w:basedOn w:val="Normal"/>
    <w:next w:val="Normal"/>
    <w:link w:val="Titre4Car"/>
    <w:autoRedefine/>
    <w:qFormat/>
    <w:rsid w:val="001C2DC3"/>
    <w:pPr>
      <w:keepNext/>
      <w:spacing w:before="240" w:after="60"/>
      <w:outlineLvl w:val="3"/>
    </w:pPr>
    <w:rPr>
      <w:rFonts w:ascii="Trebuchet MS" w:eastAsia="Calibri" w:hAnsi="Trebuchet MS" w:cs="Arial"/>
      <w:b/>
      <w:i/>
    </w:rPr>
  </w:style>
  <w:style w:type="paragraph" w:styleId="Titre5">
    <w:name w:val="heading 5"/>
    <w:basedOn w:val="Normal"/>
    <w:next w:val="Normal"/>
    <w:autoRedefine/>
    <w:qFormat/>
    <w:rsid w:val="001C2DC3"/>
    <w:pPr>
      <w:tabs>
        <w:tab w:val="num" w:pos="3240"/>
      </w:tabs>
      <w:spacing w:before="120" w:after="60"/>
      <w:ind w:left="2880"/>
      <w:outlineLvl w:val="4"/>
    </w:pPr>
    <w:rPr>
      <w:b/>
      <w:i/>
      <w:iCs/>
      <w:sz w:val="18"/>
      <w:szCs w:val="26"/>
    </w:rPr>
  </w:style>
  <w:style w:type="paragraph" w:styleId="Titre6">
    <w:name w:val="heading 6"/>
    <w:basedOn w:val="Normal"/>
    <w:next w:val="Normal"/>
    <w:link w:val="Titre6Car"/>
    <w:qFormat/>
    <w:rsid w:val="003850BE"/>
    <w:pPr>
      <w:tabs>
        <w:tab w:val="num" w:pos="1152"/>
      </w:tabs>
      <w:spacing w:before="240" w:after="60"/>
      <w:ind w:left="1152" w:hanging="1152"/>
      <w:outlineLvl w:val="5"/>
    </w:pPr>
    <w:rPr>
      <w:rFonts w:eastAsia="Calibri"/>
      <w:b/>
      <w:bCs/>
      <w:sz w:val="22"/>
      <w:szCs w:val="22"/>
      <w:lang w:eastAsia="fr-FR"/>
    </w:rPr>
  </w:style>
  <w:style w:type="paragraph" w:styleId="Titre7">
    <w:name w:val="heading 7"/>
    <w:basedOn w:val="Normal"/>
    <w:next w:val="Normal"/>
    <w:link w:val="Titre7Car"/>
    <w:qFormat/>
    <w:rsid w:val="003850BE"/>
    <w:pPr>
      <w:tabs>
        <w:tab w:val="num" w:pos="1296"/>
      </w:tabs>
      <w:spacing w:before="240" w:after="60"/>
      <w:ind w:left="1296" w:hanging="1296"/>
      <w:outlineLvl w:val="6"/>
    </w:pPr>
    <w:rPr>
      <w:rFonts w:eastAsia="Calibri"/>
      <w:lang w:eastAsia="fr-FR"/>
    </w:rPr>
  </w:style>
  <w:style w:type="paragraph" w:styleId="Titre8">
    <w:name w:val="heading 8"/>
    <w:basedOn w:val="Normal"/>
    <w:next w:val="Normal"/>
    <w:qFormat/>
    <w:rsid w:val="003850BE"/>
    <w:pPr>
      <w:tabs>
        <w:tab w:val="num" w:pos="1440"/>
      </w:tabs>
      <w:spacing w:before="240" w:after="60"/>
      <w:ind w:left="1440" w:hanging="1440"/>
      <w:outlineLvl w:val="7"/>
    </w:pPr>
    <w:rPr>
      <w:i/>
      <w:iCs/>
      <w:lang w:eastAsia="fr-FR"/>
    </w:rPr>
  </w:style>
  <w:style w:type="paragraph" w:styleId="Titre9">
    <w:name w:val="heading 9"/>
    <w:basedOn w:val="Normal"/>
    <w:next w:val="Normal"/>
    <w:qFormat/>
    <w:rsid w:val="003850BE"/>
    <w:pPr>
      <w:tabs>
        <w:tab w:val="num" w:pos="1584"/>
      </w:tabs>
      <w:spacing w:before="240" w:after="60"/>
      <w:ind w:left="1584" w:hanging="1584"/>
      <w:outlineLvl w:val="8"/>
    </w:pPr>
    <w:rPr>
      <w:rFonts w:ascii="Arial" w:hAnsi="Arial" w:cs="Arial"/>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locked/>
    <w:rsid w:val="003850BE"/>
    <w:rPr>
      <w:rFonts w:ascii="Arial Gras" w:eastAsia="Calibri" w:hAnsi="Arial Gras"/>
      <w:b/>
      <w:bCs/>
      <w:sz w:val="32"/>
      <w:lang w:val="fr-FR" w:eastAsia="en-US" w:bidi="ar-SA"/>
    </w:rPr>
  </w:style>
  <w:style w:type="character" w:customStyle="1" w:styleId="Titre2Car1">
    <w:name w:val="Titre 2 Car1"/>
    <w:basedOn w:val="Policepardfaut"/>
    <w:link w:val="Titre2"/>
    <w:locked/>
    <w:rsid w:val="003850BE"/>
    <w:rPr>
      <w:rFonts w:ascii="Arial Gras" w:eastAsia="Calibri" w:hAnsi="Arial Gras" w:cs="Arial"/>
      <w:b/>
      <w:i/>
      <w:iCs/>
      <w:color w:val="800080"/>
      <w:sz w:val="28"/>
      <w:szCs w:val="28"/>
      <w:lang w:val="fr-FR" w:eastAsia="en-US" w:bidi="ar-SA"/>
    </w:rPr>
  </w:style>
  <w:style w:type="character" w:customStyle="1" w:styleId="Titre3Car">
    <w:name w:val="Titre 3 Car"/>
    <w:basedOn w:val="Policepardfaut"/>
    <w:link w:val="Titre3"/>
    <w:locked/>
    <w:rsid w:val="003850BE"/>
    <w:rPr>
      <w:rFonts w:ascii="Arial" w:hAnsi="Arial" w:cs="Arial"/>
      <w:b/>
      <w:sz w:val="22"/>
      <w:szCs w:val="26"/>
      <w:lang w:val="fr-FR" w:eastAsia="en-US" w:bidi="ar-SA"/>
    </w:rPr>
  </w:style>
  <w:style w:type="character" w:customStyle="1" w:styleId="Titre4Car">
    <w:name w:val="Titre 4 Car"/>
    <w:basedOn w:val="Policepardfaut"/>
    <w:link w:val="Titre4"/>
    <w:locked/>
    <w:rsid w:val="003850BE"/>
    <w:rPr>
      <w:rFonts w:ascii="Trebuchet MS" w:eastAsia="Calibri" w:hAnsi="Trebuchet MS" w:cs="Arial"/>
      <w:b/>
      <w:i/>
      <w:sz w:val="24"/>
      <w:szCs w:val="24"/>
      <w:lang w:val="fr-FR" w:eastAsia="en-US" w:bidi="ar-SA"/>
    </w:rPr>
  </w:style>
  <w:style w:type="character" w:customStyle="1" w:styleId="Titre6Car">
    <w:name w:val="Titre 6 Car"/>
    <w:basedOn w:val="Policepardfaut"/>
    <w:link w:val="Titre6"/>
    <w:semiHidden/>
    <w:locked/>
    <w:rsid w:val="003850BE"/>
    <w:rPr>
      <w:rFonts w:eastAsia="Calibri"/>
      <w:b/>
      <w:bCs/>
      <w:sz w:val="22"/>
      <w:szCs w:val="22"/>
      <w:lang w:val="fr-FR" w:eastAsia="fr-FR" w:bidi="ar-SA"/>
    </w:rPr>
  </w:style>
  <w:style w:type="character" w:customStyle="1" w:styleId="Titre7Car">
    <w:name w:val="Titre 7 Car"/>
    <w:basedOn w:val="Policepardfaut"/>
    <w:link w:val="Titre7"/>
    <w:semiHidden/>
    <w:locked/>
    <w:rsid w:val="003850BE"/>
    <w:rPr>
      <w:rFonts w:eastAsia="Calibri"/>
      <w:sz w:val="24"/>
      <w:szCs w:val="24"/>
      <w:lang w:val="fr-FR" w:eastAsia="fr-FR" w:bidi="ar-SA"/>
    </w:rPr>
  </w:style>
  <w:style w:type="paragraph" w:customStyle="1" w:styleId="Style2">
    <w:name w:val="Style2"/>
    <w:basedOn w:val="Titre3"/>
    <w:autoRedefine/>
    <w:rsid w:val="00A52234"/>
    <w:rPr>
      <w:sz w:val="20"/>
    </w:rPr>
  </w:style>
  <w:style w:type="paragraph" w:customStyle="1" w:styleId="Style3">
    <w:name w:val="Style3"/>
    <w:basedOn w:val="Titre3"/>
    <w:autoRedefine/>
    <w:rsid w:val="00A52234"/>
    <w:rPr>
      <w:sz w:val="20"/>
    </w:rPr>
  </w:style>
  <w:style w:type="paragraph" w:customStyle="1" w:styleId="Style1">
    <w:name w:val="Style1"/>
    <w:basedOn w:val="Corpsdetexte3"/>
    <w:link w:val="Style1Car"/>
    <w:autoRedefine/>
    <w:rsid w:val="007039BA"/>
    <w:rPr>
      <w:sz w:val="22"/>
      <w:szCs w:val="24"/>
    </w:rPr>
  </w:style>
  <w:style w:type="paragraph" w:styleId="Corpsdetexte3">
    <w:name w:val="Body Text 3"/>
    <w:basedOn w:val="Normal"/>
    <w:link w:val="Corpsdetexte3Car"/>
    <w:autoRedefine/>
    <w:rsid w:val="003112E1"/>
    <w:pPr>
      <w:jc w:val="both"/>
    </w:pPr>
    <w:rPr>
      <w:bCs/>
      <w:sz w:val="16"/>
      <w:szCs w:val="16"/>
    </w:rPr>
  </w:style>
  <w:style w:type="character" w:customStyle="1" w:styleId="Corpsdetexte3Car">
    <w:name w:val="Corps de texte 3 Car"/>
    <w:basedOn w:val="Policepardfaut"/>
    <w:link w:val="Corpsdetexte3"/>
    <w:semiHidden/>
    <w:locked/>
    <w:rsid w:val="003850BE"/>
    <w:rPr>
      <w:bCs/>
      <w:sz w:val="16"/>
      <w:szCs w:val="16"/>
      <w:lang w:val="fr-FR" w:eastAsia="en-US" w:bidi="ar-SA"/>
    </w:rPr>
  </w:style>
  <w:style w:type="character" w:customStyle="1" w:styleId="Style1Car">
    <w:name w:val="Style1 Car"/>
    <w:basedOn w:val="Policepardfaut"/>
    <w:link w:val="Style1"/>
    <w:locked/>
    <w:rsid w:val="003850BE"/>
    <w:rPr>
      <w:bCs/>
      <w:sz w:val="22"/>
      <w:szCs w:val="24"/>
      <w:lang w:val="fr-FR" w:eastAsia="en-US" w:bidi="ar-SA"/>
    </w:rPr>
  </w:style>
  <w:style w:type="paragraph" w:customStyle="1" w:styleId="Style4">
    <w:name w:val="Style4"/>
    <w:basedOn w:val="Titre5"/>
    <w:next w:val="Corpsdetexte3"/>
    <w:autoRedefine/>
    <w:rsid w:val="00BF5406"/>
    <w:rPr>
      <w:sz w:val="20"/>
    </w:rPr>
  </w:style>
  <w:style w:type="paragraph" w:styleId="Notedebasdepage">
    <w:name w:val="footnote text"/>
    <w:basedOn w:val="Normal"/>
    <w:link w:val="NotedebasdepageCar"/>
    <w:autoRedefine/>
    <w:semiHidden/>
    <w:rsid w:val="00716630"/>
    <w:rPr>
      <w:sz w:val="16"/>
      <w:szCs w:val="20"/>
    </w:rPr>
  </w:style>
  <w:style w:type="character" w:customStyle="1" w:styleId="NotedebasdepageCar">
    <w:name w:val="Note de bas de page Car"/>
    <w:basedOn w:val="Policepardfaut"/>
    <w:link w:val="Notedebasdepage"/>
    <w:semiHidden/>
    <w:locked/>
    <w:rsid w:val="003850BE"/>
    <w:rPr>
      <w:sz w:val="16"/>
      <w:lang w:val="fr-FR" w:eastAsia="en-US" w:bidi="ar-SA"/>
    </w:rPr>
  </w:style>
  <w:style w:type="paragraph" w:customStyle="1" w:styleId="Notebasdepage">
    <w:name w:val="Note bas de page"/>
    <w:basedOn w:val="Normal"/>
    <w:autoRedefine/>
    <w:rsid w:val="00624484"/>
    <w:rPr>
      <w:sz w:val="16"/>
    </w:rPr>
  </w:style>
  <w:style w:type="paragraph" w:customStyle="1" w:styleId="Titre40">
    <w:name w:val="Titre 4+"/>
    <w:basedOn w:val="Titre4"/>
    <w:next w:val="Corpsdetexte"/>
    <w:autoRedefine/>
    <w:rsid w:val="001B33C1"/>
    <w:pPr>
      <w:spacing w:line="408" w:lineRule="auto"/>
    </w:pPr>
    <w:rPr>
      <w:rFonts w:ascii="Arial" w:hAnsi="Arial"/>
      <w:bCs/>
      <w:color w:val="000000"/>
      <w:sz w:val="20"/>
      <w:szCs w:val="25"/>
    </w:rPr>
  </w:style>
  <w:style w:type="paragraph" w:styleId="Corpsdetexte">
    <w:name w:val="Body Text"/>
    <w:aliases w:val="Corps de texte resserré"/>
    <w:basedOn w:val="Normal"/>
    <w:next w:val="Corpsdetexte2"/>
    <w:link w:val="CorpsdetexteCar"/>
    <w:autoRedefine/>
    <w:rsid w:val="00631505"/>
    <w:pPr>
      <w:spacing w:after="120"/>
    </w:pPr>
    <w:rPr>
      <w:bCs/>
      <w:sz w:val="18"/>
    </w:rPr>
  </w:style>
  <w:style w:type="paragraph" w:styleId="Corpsdetexte2">
    <w:name w:val="Body Text 2"/>
    <w:basedOn w:val="Normal"/>
    <w:link w:val="Corpsdetexte2Car"/>
    <w:autoRedefine/>
    <w:rsid w:val="00136B15"/>
    <w:pPr>
      <w:spacing w:after="120"/>
      <w:ind w:left="1701"/>
    </w:pPr>
    <w:rPr>
      <w:rFonts w:ascii="Arial" w:hAnsi="Arial"/>
      <w:bCs/>
      <w:sz w:val="18"/>
      <w:szCs w:val="28"/>
    </w:rPr>
  </w:style>
  <w:style w:type="character" w:customStyle="1" w:styleId="Corpsdetexte2Car">
    <w:name w:val="Corps de texte 2 Car"/>
    <w:basedOn w:val="Policepardfaut"/>
    <w:link w:val="Corpsdetexte2"/>
    <w:semiHidden/>
    <w:locked/>
    <w:rsid w:val="003850BE"/>
    <w:rPr>
      <w:rFonts w:ascii="Arial" w:hAnsi="Arial"/>
      <w:bCs/>
      <w:sz w:val="18"/>
      <w:szCs w:val="28"/>
      <w:lang w:val="fr-FR" w:eastAsia="en-US" w:bidi="ar-SA"/>
    </w:rPr>
  </w:style>
  <w:style w:type="character" w:customStyle="1" w:styleId="CorpsdetexteCar">
    <w:name w:val="Corps de texte Car"/>
    <w:aliases w:val="Corps de texte resserré Car"/>
    <w:basedOn w:val="Policepardfaut"/>
    <w:link w:val="Corpsdetexte"/>
    <w:semiHidden/>
    <w:locked/>
    <w:rsid w:val="003850BE"/>
    <w:rPr>
      <w:bCs/>
      <w:sz w:val="18"/>
      <w:szCs w:val="24"/>
      <w:lang w:val="fr-FR" w:eastAsia="en-US" w:bidi="ar-SA"/>
    </w:rPr>
  </w:style>
  <w:style w:type="paragraph" w:customStyle="1" w:styleId="Titre41">
    <w:name w:val="Titre 4 +"/>
    <w:basedOn w:val="Titre4"/>
    <w:autoRedefine/>
    <w:rsid w:val="001B33C1"/>
    <w:pPr>
      <w:spacing w:line="408" w:lineRule="auto"/>
    </w:pPr>
    <w:rPr>
      <w:rFonts w:ascii="Arial" w:hAnsi="Arial"/>
      <w:bCs/>
      <w:color w:val="000000"/>
      <w:sz w:val="20"/>
      <w:szCs w:val="25"/>
    </w:rPr>
  </w:style>
  <w:style w:type="paragraph" w:customStyle="1" w:styleId="StyleCorpsdetexte2Gras">
    <w:name w:val="Style Corps de texte 2 + Gras"/>
    <w:basedOn w:val="Corpsdetexte2"/>
    <w:autoRedefine/>
    <w:rsid w:val="00136B15"/>
    <w:rPr>
      <w:bCs w:val="0"/>
      <w:i/>
    </w:rPr>
  </w:style>
  <w:style w:type="paragraph" w:styleId="TM3">
    <w:name w:val="toc 3"/>
    <w:basedOn w:val="Corpsdetexte3"/>
    <w:next w:val="Normal"/>
    <w:autoRedefine/>
    <w:semiHidden/>
    <w:rsid w:val="00152EF9"/>
    <w:pPr>
      <w:widowControl w:val="0"/>
      <w:tabs>
        <w:tab w:val="left" w:pos="960"/>
        <w:tab w:val="right" w:leader="dot" w:pos="9062"/>
      </w:tabs>
      <w:autoSpaceDE w:val="0"/>
      <w:autoSpaceDN w:val="0"/>
      <w:adjustRightInd w:val="0"/>
      <w:spacing w:before="20"/>
      <w:ind w:left="720"/>
      <w:jc w:val="left"/>
    </w:pPr>
    <w:rPr>
      <w:rFonts w:ascii="Arial" w:hAnsi="Arial"/>
      <w:color w:val="000000"/>
    </w:rPr>
  </w:style>
  <w:style w:type="paragraph" w:styleId="TM4">
    <w:name w:val="toc 4"/>
    <w:basedOn w:val="Normal"/>
    <w:next w:val="Normal"/>
    <w:autoRedefine/>
    <w:semiHidden/>
    <w:rsid w:val="00F53CCC"/>
    <w:pPr>
      <w:ind w:left="600"/>
    </w:pPr>
    <w:rPr>
      <w:bCs/>
      <w:sz w:val="18"/>
      <w:szCs w:val="20"/>
    </w:rPr>
  </w:style>
  <w:style w:type="paragraph" w:customStyle="1" w:styleId="Corpsdecommentaire">
    <w:name w:val="Corps de commentaire"/>
    <w:basedOn w:val="NormalWeb"/>
    <w:next w:val="Corpsdetexte"/>
    <w:autoRedefine/>
    <w:rsid w:val="000B026F"/>
    <w:pPr>
      <w:spacing w:before="100" w:beforeAutospacing="1" w:after="100" w:afterAutospacing="1"/>
      <w:jc w:val="both"/>
    </w:pPr>
    <w:rPr>
      <w:b/>
      <w:bCs/>
      <w:i/>
      <w:sz w:val="22"/>
      <w:szCs w:val="22"/>
    </w:rPr>
  </w:style>
  <w:style w:type="paragraph" w:styleId="NormalWeb">
    <w:name w:val="Normal (Web)"/>
    <w:basedOn w:val="Normal"/>
    <w:rsid w:val="000B026F"/>
  </w:style>
  <w:style w:type="paragraph" w:styleId="TM2">
    <w:name w:val="toc 2"/>
    <w:basedOn w:val="Normal"/>
    <w:next w:val="Normal"/>
    <w:autoRedefine/>
    <w:semiHidden/>
    <w:rsid w:val="00152EF9"/>
    <w:pPr>
      <w:widowControl w:val="0"/>
      <w:tabs>
        <w:tab w:val="left" w:pos="720"/>
        <w:tab w:val="right" w:leader="dot" w:pos="9062"/>
      </w:tabs>
      <w:autoSpaceDE w:val="0"/>
      <w:autoSpaceDN w:val="0"/>
      <w:adjustRightInd w:val="0"/>
      <w:spacing w:before="120"/>
      <w:ind w:left="238"/>
    </w:pPr>
    <w:rPr>
      <w:rFonts w:ascii="Arial" w:hAnsi="Arial"/>
      <w:bCs/>
      <w:noProof/>
      <w:color w:val="000000"/>
      <w:sz w:val="22"/>
    </w:rPr>
  </w:style>
  <w:style w:type="paragraph" w:customStyle="1" w:styleId="corpsdetexteresserr">
    <w:name w:val="corps de texte resserré"/>
    <w:basedOn w:val="Corpsdetexte"/>
    <w:next w:val="Corpsdetexte"/>
    <w:autoRedefine/>
    <w:rsid w:val="00631505"/>
    <w:pPr>
      <w:spacing w:after="0"/>
    </w:pPr>
  </w:style>
  <w:style w:type="paragraph" w:customStyle="1" w:styleId="Commentairedetableau">
    <w:name w:val="Commentaire de tableau"/>
    <w:basedOn w:val="Corpsdetexte3"/>
    <w:autoRedefine/>
    <w:rsid w:val="001C2DC3"/>
    <w:pPr>
      <w:spacing w:line="-230" w:lineRule="auto"/>
    </w:pPr>
    <w:rPr>
      <w:rFonts w:ascii="Verdana" w:eastAsia="Calibri" w:hAnsi="Verdana" w:cs="Verdana"/>
      <w:b/>
      <w:color w:val="666666"/>
      <w:sz w:val="20"/>
      <w:szCs w:val="20"/>
    </w:rPr>
  </w:style>
  <w:style w:type="paragraph" w:styleId="En-tte">
    <w:name w:val="header"/>
    <w:basedOn w:val="Normal"/>
    <w:link w:val="En-tteCar"/>
    <w:rsid w:val="00401FF2"/>
    <w:pPr>
      <w:tabs>
        <w:tab w:val="center" w:pos="4536"/>
        <w:tab w:val="right" w:pos="9072"/>
      </w:tabs>
    </w:pPr>
  </w:style>
  <w:style w:type="character" w:customStyle="1" w:styleId="En-tteCar">
    <w:name w:val="En-tête Car"/>
    <w:basedOn w:val="Policepardfaut"/>
    <w:link w:val="En-tte"/>
    <w:semiHidden/>
    <w:locked/>
    <w:rsid w:val="003850BE"/>
    <w:rPr>
      <w:sz w:val="24"/>
      <w:szCs w:val="24"/>
      <w:lang w:val="fr-FR" w:eastAsia="en-US" w:bidi="ar-SA"/>
    </w:rPr>
  </w:style>
  <w:style w:type="paragraph" w:styleId="Pieddepage">
    <w:name w:val="footer"/>
    <w:basedOn w:val="Normal"/>
    <w:link w:val="PieddepageCar"/>
    <w:rsid w:val="00401FF2"/>
    <w:pPr>
      <w:tabs>
        <w:tab w:val="center" w:pos="4536"/>
        <w:tab w:val="right" w:pos="9072"/>
      </w:tabs>
    </w:pPr>
  </w:style>
  <w:style w:type="character" w:customStyle="1" w:styleId="PieddepageCar">
    <w:name w:val="Pied de page Car"/>
    <w:basedOn w:val="Policepardfaut"/>
    <w:link w:val="Pieddepage"/>
    <w:semiHidden/>
    <w:locked/>
    <w:rsid w:val="003850BE"/>
    <w:rPr>
      <w:sz w:val="24"/>
      <w:szCs w:val="24"/>
      <w:lang w:val="fr-FR" w:eastAsia="en-US" w:bidi="ar-SA"/>
    </w:rPr>
  </w:style>
  <w:style w:type="table" w:styleId="Grilledutableau">
    <w:name w:val="Table Grid"/>
    <w:basedOn w:val="TableauNormal"/>
    <w:rsid w:val="00385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semiHidden/>
    <w:rsid w:val="003850BE"/>
    <w:rPr>
      <w:rFonts w:ascii="Tahoma" w:eastAsia="Calibri" w:hAnsi="Tahoma" w:cs="Tahoma"/>
      <w:sz w:val="16"/>
      <w:szCs w:val="16"/>
      <w:lang w:eastAsia="fr-FR"/>
    </w:rPr>
  </w:style>
  <w:style w:type="character" w:customStyle="1" w:styleId="TextedebullesCar">
    <w:name w:val="Texte de bulles Car"/>
    <w:basedOn w:val="Policepardfaut"/>
    <w:link w:val="Textedebulles"/>
    <w:semiHidden/>
    <w:locked/>
    <w:rsid w:val="003850BE"/>
    <w:rPr>
      <w:rFonts w:ascii="Tahoma" w:eastAsia="Calibri" w:hAnsi="Tahoma" w:cs="Tahoma"/>
      <w:sz w:val="16"/>
      <w:szCs w:val="16"/>
      <w:lang w:val="fr-FR" w:eastAsia="fr-FR" w:bidi="ar-SA"/>
    </w:rPr>
  </w:style>
  <w:style w:type="paragraph" w:styleId="Commentaire">
    <w:name w:val="annotation text"/>
    <w:basedOn w:val="Normal"/>
    <w:link w:val="CommentaireCar"/>
    <w:semiHidden/>
    <w:rsid w:val="003850BE"/>
    <w:rPr>
      <w:sz w:val="20"/>
      <w:szCs w:val="20"/>
      <w:lang w:eastAsia="fr-FR"/>
    </w:rPr>
  </w:style>
  <w:style w:type="character" w:customStyle="1" w:styleId="CommentaireCar">
    <w:name w:val="Commentaire Car"/>
    <w:basedOn w:val="Policepardfaut"/>
    <w:link w:val="Commentaire"/>
    <w:semiHidden/>
    <w:locked/>
    <w:rsid w:val="003850BE"/>
    <w:rPr>
      <w:lang w:val="fr-FR" w:eastAsia="fr-FR" w:bidi="ar-SA"/>
    </w:rPr>
  </w:style>
  <w:style w:type="paragraph" w:styleId="Objetducommentaire">
    <w:name w:val="annotation subject"/>
    <w:basedOn w:val="Commentaire"/>
    <w:next w:val="Commentaire"/>
    <w:link w:val="ObjetducommentaireCar"/>
    <w:semiHidden/>
    <w:rsid w:val="003850BE"/>
    <w:rPr>
      <w:b/>
      <w:bCs/>
    </w:rPr>
  </w:style>
  <w:style w:type="character" w:customStyle="1" w:styleId="ObjetducommentaireCar">
    <w:name w:val="Objet du commentaire Car"/>
    <w:basedOn w:val="CommentTextChar"/>
    <w:link w:val="Objetducommentaire"/>
    <w:semiHidden/>
    <w:locked/>
    <w:rsid w:val="003850BE"/>
    <w:rPr>
      <w:b/>
      <w:bCs/>
      <w:lang w:val="fr-FR" w:bidi="ar-SA"/>
    </w:rPr>
  </w:style>
  <w:style w:type="character" w:customStyle="1" w:styleId="CommentTextChar">
    <w:name w:val="Comment Text Char"/>
    <w:semiHidden/>
    <w:locked/>
    <w:rsid w:val="003850BE"/>
    <w:rPr>
      <w:rFonts w:ascii="Times New Roman" w:hAnsi="Times New Roman"/>
      <w:sz w:val="20"/>
      <w:lang w:eastAsia="fr-FR"/>
    </w:rPr>
  </w:style>
  <w:style w:type="character" w:styleId="Numrodepage">
    <w:name w:val="page number"/>
    <w:basedOn w:val="Policepardfaut"/>
    <w:rsid w:val="003850BE"/>
    <w:rPr>
      <w:rFonts w:cs="Times New Roman"/>
    </w:rPr>
  </w:style>
  <w:style w:type="paragraph" w:customStyle="1" w:styleId="StyleTrebuchetMS11ptJustifiGauche1cmAprs6pt">
    <w:name w:val="Style Trebuchet MS 11 pt Justifié Gauche :  1 cm Après : 6 pt"/>
    <w:basedOn w:val="Normal"/>
    <w:rsid w:val="003850BE"/>
    <w:pPr>
      <w:spacing w:after="120"/>
      <w:ind w:left="567"/>
      <w:jc w:val="both"/>
    </w:pPr>
    <w:rPr>
      <w:rFonts w:ascii="Trebuchet MS" w:eastAsia="Calibri" w:hAnsi="Trebuchet MS"/>
      <w:sz w:val="20"/>
      <w:szCs w:val="20"/>
      <w:lang w:eastAsia="fr-FR"/>
    </w:rPr>
  </w:style>
  <w:style w:type="paragraph" w:styleId="Retraitcorpsdetexte3">
    <w:name w:val="Body Text Indent 3"/>
    <w:basedOn w:val="Normal"/>
    <w:link w:val="Retraitcorpsdetexte3Car"/>
    <w:rsid w:val="003850BE"/>
    <w:pPr>
      <w:spacing w:after="120"/>
      <w:ind w:left="283"/>
    </w:pPr>
    <w:rPr>
      <w:rFonts w:eastAsia="Calibri"/>
      <w:sz w:val="16"/>
      <w:szCs w:val="16"/>
      <w:lang w:eastAsia="fr-FR"/>
    </w:rPr>
  </w:style>
  <w:style w:type="character" w:customStyle="1" w:styleId="Retraitcorpsdetexte3Car">
    <w:name w:val="Retrait corps de texte 3 Car"/>
    <w:basedOn w:val="Policepardfaut"/>
    <w:link w:val="Retraitcorpsdetexte3"/>
    <w:semiHidden/>
    <w:locked/>
    <w:rsid w:val="003850BE"/>
    <w:rPr>
      <w:rFonts w:eastAsia="Calibri"/>
      <w:sz w:val="16"/>
      <w:szCs w:val="16"/>
      <w:lang w:val="fr-FR" w:eastAsia="fr-FR" w:bidi="ar-SA"/>
    </w:rPr>
  </w:style>
  <w:style w:type="character" w:styleId="Lienhypertexte">
    <w:name w:val="Hyperlink"/>
    <w:basedOn w:val="Policepardfaut"/>
    <w:rsid w:val="003850BE"/>
    <w:rPr>
      <w:rFonts w:cs="Times New Roman"/>
      <w:color w:val="800080"/>
      <w:u w:val="single"/>
    </w:rPr>
  </w:style>
  <w:style w:type="character" w:styleId="Lienhypertextesuivivisit">
    <w:name w:val="FollowedHyperlink"/>
    <w:basedOn w:val="Policepardfaut"/>
    <w:rsid w:val="003850BE"/>
    <w:rPr>
      <w:rFonts w:cs="Times New Roman"/>
      <w:color w:val="800080"/>
      <w:u w:val="single"/>
    </w:rPr>
  </w:style>
  <w:style w:type="character" w:styleId="lev">
    <w:name w:val="Strong"/>
    <w:basedOn w:val="Policepardfaut"/>
    <w:qFormat/>
    <w:rsid w:val="003850BE"/>
    <w:rPr>
      <w:rFonts w:cs="Times New Roman"/>
      <w:b/>
      <w:bCs/>
    </w:rPr>
  </w:style>
  <w:style w:type="character" w:customStyle="1" w:styleId="Caractredenotedebasdepage">
    <w:name w:val="Caractère de note de bas de page"/>
    <w:rsid w:val="003850BE"/>
  </w:style>
  <w:style w:type="character" w:customStyle="1" w:styleId="Appelnotedebasdep1">
    <w:name w:val="Appel note de bas de p.1"/>
    <w:rsid w:val="003850BE"/>
    <w:rPr>
      <w:vertAlign w:val="superscript"/>
    </w:rPr>
  </w:style>
  <w:style w:type="paragraph" w:styleId="Normalcentr">
    <w:name w:val="Block Text"/>
    <w:basedOn w:val="Normal"/>
    <w:rsid w:val="003850BE"/>
    <w:pPr>
      <w:spacing w:before="252"/>
      <w:ind w:left="144" w:right="216"/>
      <w:jc w:val="both"/>
    </w:pPr>
    <w:rPr>
      <w:rFonts w:eastAsia="Calibri"/>
      <w:sz w:val="22"/>
      <w:szCs w:val="22"/>
      <w:lang w:eastAsia="fr-FR"/>
    </w:rPr>
  </w:style>
  <w:style w:type="paragraph" w:customStyle="1" w:styleId="Paragraphe">
    <w:name w:val="Paragraphe"/>
    <w:basedOn w:val="Normal"/>
    <w:rsid w:val="003850BE"/>
    <w:pPr>
      <w:spacing w:before="120" w:after="120"/>
      <w:jc w:val="both"/>
    </w:pPr>
    <w:rPr>
      <w:rFonts w:eastAsia="Calibri"/>
      <w:szCs w:val="20"/>
      <w:lang w:eastAsia="fr-FR"/>
    </w:rPr>
  </w:style>
  <w:style w:type="paragraph" w:customStyle="1" w:styleId="Paragraphedeliste1">
    <w:name w:val="Paragraphe de liste1"/>
    <w:basedOn w:val="Normal"/>
    <w:rsid w:val="003850BE"/>
    <w:pPr>
      <w:ind w:left="720"/>
      <w:contextualSpacing/>
    </w:pPr>
    <w:rPr>
      <w:rFonts w:eastAsia="Calibri"/>
      <w:sz w:val="20"/>
      <w:szCs w:val="20"/>
      <w:lang w:eastAsia="fr-FR"/>
    </w:rPr>
  </w:style>
  <w:style w:type="character" w:customStyle="1" w:styleId="Titre1Car">
    <w:name w:val="Titre 1 Car"/>
    <w:basedOn w:val="Policepardfaut"/>
    <w:rsid w:val="003850BE"/>
    <w:rPr>
      <w:rFonts w:ascii="Arial" w:hAnsi="Arial" w:cs="Arial"/>
      <w:b/>
      <w:bCs/>
      <w:kern w:val="32"/>
      <w:sz w:val="32"/>
      <w:szCs w:val="32"/>
      <w:lang w:val="fr-FR" w:eastAsia="fr-FR" w:bidi="ar-SA"/>
    </w:rPr>
  </w:style>
  <w:style w:type="character" w:customStyle="1" w:styleId="Titre2Car">
    <w:name w:val="Titre 2 Car"/>
    <w:basedOn w:val="Policepardfaut"/>
    <w:rsid w:val="003850BE"/>
    <w:rPr>
      <w:rFonts w:ascii="Arial" w:hAnsi="Arial" w:cs="Arial"/>
      <w:b/>
      <w:bCs/>
      <w:i/>
      <w:iCs/>
      <w:sz w:val="24"/>
      <w:szCs w:val="28"/>
      <w:lang w:val="fr-FR" w:eastAsia="fr-FR" w:bidi="ar-SA"/>
    </w:rPr>
  </w:style>
  <w:style w:type="paragraph" w:customStyle="1" w:styleId="centre">
    <w:name w:val="centre"/>
    <w:basedOn w:val="Normal"/>
    <w:rsid w:val="003850BE"/>
    <w:pPr>
      <w:overflowPunct w:val="0"/>
      <w:autoSpaceDE w:val="0"/>
      <w:autoSpaceDN w:val="0"/>
      <w:adjustRightInd w:val="0"/>
      <w:ind w:left="737"/>
      <w:jc w:val="center"/>
      <w:textAlignment w:val="baseline"/>
    </w:pPr>
    <w:rPr>
      <w:b/>
      <w:color w:val="0000FF"/>
      <w:sz w:val="28"/>
      <w:szCs w:val="20"/>
      <w:lang w:eastAsia="fr-FR"/>
    </w:rPr>
  </w:style>
  <w:style w:type="paragraph" w:customStyle="1" w:styleId="AlinaJustifi">
    <w:name w:val="Alinéa Justifié"/>
    <w:basedOn w:val="Normal"/>
    <w:link w:val="AlinaJustifiCar"/>
    <w:rsid w:val="003850BE"/>
    <w:pPr>
      <w:overflowPunct w:val="0"/>
      <w:autoSpaceDE w:val="0"/>
      <w:autoSpaceDN w:val="0"/>
      <w:adjustRightInd w:val="0"/>
      <w:spacing w:before="120" w:after="120" w:line="240" w:lineRule="atLeast"/>
      <w:ind w:firstLine="907"/>
      <w:jc w:val="both"/>
      <w:textAlignment w:val="baseline"/>
    </w:pPr>
    <w:rPr>
      <w:spacing w:val="4"/>
      <w:sz w:val="25"/>
      <w:szCs w:val="20"/>
      <w:lang w:eastAsia="fr-FR"/>
    </w:rPr>
  </w:style>
  <w:style w:type="character" w:customStyle="1" w:styleId="AlinaJustifiCar">
    <w:name w:val="Alinéa Justifié Car"/>
    <w:basedOn w:val="Policepardfaut"/>
    <w:link w:val="AlinaJustifi"/>
    <w:rsid w:val="003850BE"/>
    <w:rPr>
      <w:spacing w:val="4"/>
      <w:sz w:val="25"/>
      <w:lang w:val="fr-FR" w:eastAsia="fr-FR" w:bidi="ar-SA"/>
    </w:rPr>
  </w:style>
  <w:style w:type="paragraph" w:customStyle="1" w:styleId="Default">
    <w:name w:val="Default"/>
    <w:rsid w:val="003850BE"/>
    <w:pPr>
      <w:autoSpaceDE w:val="0"/>
      <w:autoSpaceDN w:val="0"/>
      <w:adjustRightInd w:val="0"/>
    </w:pPr>
    <w:rPr>
      <w:color w:val="000000"/>
      <w:sz w:val="24"/>
      <w:szCs w:val="24"/>
    </w:rPr>
  </w:style>
  <w:style w:type="paragraph" w:styleId="Retraitcorpsdetexte2">
    <w:name w:val="Body Text Indent 2"/>
    <w:basedOn w:val="Normal"/>
    <w:rsid w:val="003850BE"/>
    <w:pPr>
      <w:spacing w:after="120" w:line="480" w:lineRule="auto"/>
      <w:ind w:left="283"/>
    </w:pPr>
    <w:rPr>
      <w:rFonts w:eastAsia="Calibri"/>
      <w:sz w:val="20"/>
      <w:szCs w:val="20"/>
      <w:lang w:eastAsia="fr-FR"/>
    </w:rPr>
  </w:style>
  <w:style w:type="character" w:customStyle="1" w:styleId="objetdutexte">
    <w:name w:val="objet du texte"/>
    <w:basedOn w:val="Policepardfaut"/>
    <w:rsid w:val="003850BE"/>
    <w:rPr>
      <w:rFonts w:ascii="Times New Roman" w:hAnsi="Times New Roman"/>
      <w:noProof w:val="0"/>
      <w:sz w:val="24"/>
      <w:lang w:val="en-US"/>
    </w:rPr>
  </w:style>
  <w:style w:type="character" w:customStyle="1" w:styleId="typedetexte">
    <w:name w:val="type de texte"/>
    <w:basedOn w:val="Policepardfaut"/>
    <w:rsid w:val="003850BE"/>
    <w:rPr>
      <w:rFonts w:ascii="Times New Roman" w:hAnsi="Times New Roman"/>
      <w:noProof w:val="0"/>
      <w:sz w:val="24"/>
      <w:lang w:val="en-US"/>
    </w:rPr>
  </w:style>
  <w:style w:type="paragraph" w:customStyle="1" w:styleId="StyleTitre1Centr1">
    <w:name w:val="Style Titre 1 + Centré1"/>
    <w:basedOn w:val="Titre1"/>
    <w:rsid w:val="003850BE"/>
    <w:pPr>
      <w:keepNext/>
      <w:shd w:val="clear" w:color="auto" w:fill="auto"/>
      <w:tabs>
        <w:tab w:val="num" w:pos="459"/>
      </w:tabs>
      <w:spacing w:before="240" w:after="60"/>
      <w:ind w:left="459" w:hanging="357"/>
      <w:jc w:val="center"/>
    </w:pPr>
    <w:rPr>
      <w:rFonts w:ascii="Comic Sans MS" w:eastAsia="Times New Roman" w:hAnsi="Comic Sans MS"/>
      <w:caps/>
      <w:kern w:val="32"/>
      <w:sz w:val="24"/>
      <w:lang w:eastAsia="fr-FR"/>
    </w:rPr>
  </w:style>
  <w:style w:type="paragraph" w:customStyle="1" w:styleId="TITRE1BS2011">
    <w:name w:val="TITRE 1 BS2011"/>
    <w:basedOn w:val="Titre1"/>
    <w:next w:val="Titre2"/>
    <w:rsid w:val="003850BE"/>
    <w:pPr>
      <w:tabs>
        <w:tab w:val="num" w:pos="459"/>
        <w:tab w:val="left" w:pos="902"/>
      </w:tabs>
      <w:spacing w:before="240" w:after="60"/>
      <w:ind w:left="459" w:hanging="357"/>
    </w:pPr>
    <w:rPr>
      <w:bCs w:val="0"/>
      <w:lang w:eastAsia="fr-FR"/>
    </w:rPr>
  </w:style>
  <w:style w:type="paragraph" w:customStyle="1" w:styleId="TITRE2BS2011">
    <w:name w:val="TITRE 2 BS2011"/>
    <w:basedOn w:val="Titre2"/>
    <w:rsid w:val="003850BE"/>
    <w:pPr>
      <w:numPr>
        <w:ilvl w:val="0"/>
        <w:numId w:val="0"/>
      </w:numPr>
      <w:tabs>
        <w:tab w:val="num" w:pos="1259"/>
        <w:tab w:val="left" w:pos="1797"/>
      </w:tabs>
      <w:ind w:left="1259" w:hanging="357"/>
    </w:pPr>
    <w:rPr>
      <w:rFonts w:ascii="Arial" w:hAnsi="Arial"/>
      <w:bCs/>
      <w:lang w:eastAsia="fr-FR"/>
    </w:rPr>
  </w:style>
  <w:style w:type="paragraph" w:customStyle="1" w:styleId="Titre3BS2011">
    <w:name w:val="Titre 3 BS2011"/>
    <w:basedOn w:val="Titre3"/>
    <w:rsid w:val="003850BE"/>
    <w:pPr>
      <w:ind w:left="601"/>
    </w:pPr>
    <w:rPr>
      <w:rFonts w:eastAsia="Calibri"/>
      <w:bCs/>
      <w:sz w:val="24"/>
      <w:szCs w:val="24"/>
      <w:lang w:eastAsia="fr-FR"/>
    </w:rPr>
  </w:style>
  <w:style w:type="paragraph" w:customStyle="1" w:styleId="CORPSDUTEXTEBISBISBS2011">
    <w:name w:val="CORPS DU TEXTE BIS BIS BS2011"/>
    <w:basedOn w:val="Textebrut"/>
    <w:link w:val="CORPSDUTEXTEBISBISBS2011Car"/>
    <w:rsid w:val="003850BE"/>
    <w:pPr>
      <w:jc w:val="both"/>
    </w:pPr>
    <w:rPr>
      <w:sz w:val="22"/>
    </w:rPr>
  </w:style>
  <w:style w:type="paragraph" w:styleId="Textebrut">
    <w:name w:val="Plain Text"/>
    <w:basedOn w:val="Normal"/>
    <w:link w:val="TextebrutCar"/>
    <w:rsid w:val="003850BE"/>
    <w:rPr>
      <w:rFonts w:ascii="Courier New" w:eastAsia="Calibri" w:hAnsi="Courier New" w:cs="Courier New"/>
      <w:sz w:val="20"/>
      <w:szCs w:val="20"/>
      <w:lang w:eastAsia="fr-FR"/>
    </w:rPr>
  </w:style>
  <w:style w:type="character" w:customStyle="1" w:styleId="TextebrutCar">
    <w:name w:val="Texte brut Car"/>
    <w:basedOn w:val="Policepardfaut"/>
    <w:link w:val="Textebrut"/>
    <w:rsid w:val="003850BE"/>
    <w:rPr>
      <w:rFonts w:ascii="Courier New" w:eastAsia="Calibri" w:hAnsi="Courier New" w:cs="Courier New"/>
      <w:lang w:val="fr-FR" w:eastAsia="fr-FR" w:bidi="ar-SA"/>
    </w:rPr>
  </w:style>
  <w:style w:type="character" w:customStyle="1" w:styleId="CORPSDUTEXTEBISBISBS2011Car">
    <w:name w:val="CORPS DU TEXTE BIS BIS BS2011 Car"/>
    <w:basedOn w:val="TextebrutCar"/>
    <w:link w:val="CORPSDUTEXTEBISBISBS2011"/>
    <w:rsid w:val="003850BE"/>
    <w:rPr>
      <w:sz w:val="22"/>
    </w:rPr>
  </w:style>
  <w:style w:type="paragraph" w:customStyle="1" w:styleId="CorpsdutexteBS2011">
    <w:name w:val="Corps du texte BS2011"/>
    <w:basedOn w:val="Textebrut"/>
    <w:rsid w:val="003850BE"/>
    <w:pPr>
      <w:jc w:val="both"/>
    </w:pPr>
    <w:rPr>
      <w:rFonts w:ascii="Times New Roman" w:hAnsi="Times New Roman" w:cs="Times New Roman"/>
      <w:sz w:val="22"/>
    </w:rPr>
  </w:style>
  <w:style w:type="paragraph" w:customStyle="1" w:styleId="Titre4BS2011">
    <w:name w:val="Titre 4 BS2011"/>
    <w:basedOn w:val="Normal"/>
    <w:rsid w:val="003850BE"/>
    <w:pPr>
      <w:keepNext/>
      <w:spacing w:before="240" w:after="60"/>
      <w:outlineLvl w:val="3"/>
    </w:pPr>
    <w:rPr>
      <w:rFonts w:ascii="Trebuchet MS" w:eastAsia="Calibri" w:hAnsi="Trebuchet MS"/>
      <w:b/>
      <w:i/>
      <w:sz w:val="22"/>
      <w:szCs w:val="22"/>
      <w:lang w:eastAsia="fr-FR"/>
    </w:rPr>
  </w:style>
  <w:style w:type="paragraph" w:styleId="TM7">
    <w:name w:val="toc 7"/>
    <w:basedOn w:val="Normal"/>
    <w:next w:val="Normal"/>
    <w:autoRedefine/>
    <w:semiHidden/>
    <w:rsid w:val="003850BE"/>
    <w:pPr>
      <w:ind w:left="1200"/>
    </w:pPr>
    <w:rPr>
      <w:rFonts w:eastAsia="Calibri"/>
      <w:sz w:val="18"/>
      <w:szCs w:val="18"/>
      <w:lang w:eastAsia="fr-FR"/>
    </w:rPr>
  </w:style>
  <w:style w:type="paragraph" w:styleId="Listepuces">
    <w:name w:val="List Bullet"/>
    <w:basedOn w:val="Normal"/>
    <w:autoRedefine/>
    <w:rsid w:val="003850BE"/>
    <w:pPr>
      <w:jc w:val="both"/>
    </w:pPr>
    <w:rPr>
      <w:rFonts w:eastAsia="Calibri" w:cs="Arial"/>
      <w:color w:val="000000"/>
      <w:sz w:val="18"/>
      <w:szCs w:val="18"/>
      <w:lang w:eastAsia="fr-FR"/>
    </w:rPr>
  </w:style>
  <w:style w:type="paragraph" w:customStyle="1" w:styleId="SNObjet">
    <w:name w:val="SNObjet"/>
    <w:basedOn w:val="Normal"/>
    <w:next w:val="Normal"/>
    <w:autoRedefine/>
    <w:rsid w:val="003850BE"/>
    <w:pPr>
      <w:widowControl w:val="0"/>
      <w:suppressLineNumbers/>
      <w:suppressAutoHyphens/>
    </w:pPr>
    <w:rPr>
      <w:rFonts w:ascii="Times New (W1)" w:eastAsia="Lucida Sans Unicode" w:hAnsi="Times New (W1)"/>
      <w:sz w:val="20"/>
      <w:szCs w:val="20"/>
    </w:rPr>
  </w:style>
  <w:style w:type="paragraph" w:customStyle="1" w:styleId="Retraitnormal1">
    <w:name w:val="Retrait normal1"/>
    <w:basedOn w:val="Normal"/>
    <w:rsid w:val="003850BE"/>
    <w:pPr>
      <w:suppressAutoHyphens/>
      <w:ind w:left="708"/>
    </w:pPr>
    <w:rPr>
      <w:lang w:eastAsia="ar-SA"/>
    </w:rPr>
  </w:style>
  <w:style w:type="paragraph" w:customStyle="1" w:styleId="SourcesBS2011">
    <w:name w:val="Sources BS2011"/>
    <w:basedOn w:val="Normal"/>
    <w:rsid w:val="003850BE"/>
    <w:rPr>
      <w:rFonts w:eastAsia="Calibri"/>
      <w:sz w:val="20"/>
      <w:szCs w:val="20"/>
      <w:lang w:eastAsia="fr-FR"/>
    </w:rPr>
  </w:style>
  <w:style w:type="paragraph" w:customStyle="1" w:styleId="TitreTableauBS2011">
    <w:name w:val="Titre Tableau BS 2011"/>
    <w:basedOn w:val="Normal"/>
    <w:rsid w:val="003850BE"/>
    <w:pPr>
      <w:jc w:val="center"/>
    </w:pPr>
    <w:rPr>
      <w:rFonts w:eastAsia="Calibri"/>
      <w:b/>
      <w:sz w:val="22"/>
      <w:szCs w:val="22"/>
      <w:lang w:eastAsia="fr-FR"/>
    </w:rPr>
  </w:style>
  <w:style w:type="paragraph" w:customStyle="1" w:styleId="TableauBS2011">
    <w:name w:val="Tableau BS 2011"/>
    <w:basedOn w:val="Normal"/>
    <w:rsid w:val="003850BE"/>
    <w:pPr>
      <w:jc w:val="center"/>
    </w:pPr>
    <w:rPr>
      <w:rFonts w:eastAsia="Calibri"/>
      <w:b/>
      <w:sz w:val="20"/>
      <w:szCs w:val="20"/>
      <w:lang w:eastAsia="fr-FR"/>
    </w:rPr>
  </w:style>
  <w:style w:type="paragraph" w:customStyle="1" w:styleId="TITRE3BS20110">
    <w:name w:val="TITRE 3 BS2011"/>
    <w:basedOn w:val="Titre3"/>
    <w:link w:val="TITRE3BS2011Car"/>
    <w:rsid w:val="003850BE"/>
    <w:pPr>
      <w:ind w:left="601"/>
    </w:pPr>
    <w:rPr>
      <w:rFonts w:eastAsia="Calibri"/>
      <w:bCs/>
      <w:sz w:val="24"/>
      <w:szCs w:val="24"/>
      <w:lang w:eastAsia="fr-FR"/>
    </w:rPr>
  </w:style>
  <w:style w:type="character" w:customStyle="1" w:styleId="TITRE3BS2011Car">
    <w:name w:val="TITRE 3 BS2011 Car"/>
    <w:basedOn w:val="Titre3Car"/>
    <w:link w:val="TITRE3BS20110"/>
    <w:rsid w:val="003850BE"/>
    <w:rPr>
      <w:rFonts w:eastAsia="Calibri"/>
      <w:bCs/>
      <w:sz w:val="24"/>
      <w:szCs w:val="24"/>
      <w:lang w:eastAsia="fr-FR"/>
    </w:rPr>
  </w:style>
  <w:style w:type="paragraph" w:customStyle="1" w:styleId="CORPSDUTEXTEBS20110">
    <w:name w:val="CORPS DU TEXTE BS2011"/>
    <w:basedOn w:val="Textebrut"/>
    <w:link w:val="CORPSDUTEXTEBS2011Car"/>
    <w:rsid w:val="003850BE"/>
    <w:pPr>
      <w:jc w:val="both"/>
    </w:pPr>
    <w:rPr>
      <w:rFonts w:ascii="Times New Roman" w:hAnsi="Times New Roman" w:cs="Times New Roman"/>
      <w:sz w:val="22"/>
    </w:rPr>
  </w:style>
  <w:style w:type="character" w:customStyle="1" w:styleId="CORPSDUTEXTEBS2011Car">
    <w:name w:val="CORPS DU TEXTE BS2011 Car"/>
    <w:basedOn w:val="TextebrutCar"/>
    <w:link w:val="CORPSDUTEXTEBS20110"/>
    <w:rsid w:val="003850BE"/>
    <w:rPr>
      <w:sz w:val="22"/>
    </w:rPr>
  </w:style>
  <w:style w:type="paragraph" w:customStyle="1" w:styleId="TITRETABLEAUBS20110">
    <w:name w:val="TITRE TABLEAU BS2011"/>
    <w:basedOn w:val="Normal"/>
    <w:rsid w:val="003850BE"/>
    <w:pPr>
      <w:jc w:val="center"/>
    </w:pPr>
    <w:rPr>
      <w:rFonts w:eastAsia="Calibri"/>
      <w:b/>
      <w:sz w:val="22"/>
      <w:szCs w:val="22"/>
      <w:lang w:eastAsia="fr-FR"/>
    </w:rPr>
  </w:style>
  <w:style w:type="paragraph" w:customStyle="1" w:styleId="SOURCETABLEAUBS2011">
    <w:name w:val="SOURCE TABLEAU BS2011"/>
    <w:basedOn w:val="Normal"/>
    <w:rsid w:val="003850BE"/>
    <w:rPr>
      <w:rFonts w:eastAsia="Calibri"/>
      <w:sz w:val="18"/>
      <w:szCs w:val="20"/>
      <w:lang w:eastAsia="fr-FR"/>
    </w:rPr>
  </w:style>
  <w:style w:type="paragraph" w:customStyle="1" w:styleId="CORPSDUTEXTEBISBS2011">
    <w:name w:val="CORPS DU TEXTE BIS BS2011"/>
    <w:basedOn w:val="Textebrut"/>
    <w:rsid w:val="003850BE"/>
    <w:pPr>
      <w:jc w:val="both"/>
    </w:pPr>
    <w:rPr>
      <w:rFonts w:ascii="Times New Roman" w:hAnsi="Times New Roman"/>
      <w:sz w:val="22"/>
    </w:rPr>
  </w:style>
  <w:style w:type="paragraph" w:customStyle="1" w:styleId="TITRE4BS20110">
    <w:name w:val="TITRE 4 BS2011"/>
    <w:basedOn w:val="Normal"/>
    <w:rsid w:val="003850BE"/>
    <w:pPr>
      <w:keepNext/>
      <w:spacing w:before="240" w:after="60"/>
      <w:outlineLvl w:val="3"/>
    </w:pPr>
    <w:rPr>
      <w:rFonts w:ascii="Trebuchet MS" w:eastAsia="Calibri" w:hAnsi="Trebuchet MS"/>
      <w:b/>
      <w:i/>
      <w:sz w:val="22"/>
      <w:szCs w:val="22"/>
      <w:lang w:eastAsia="fr-FR"/>
    </w:rPr>
  </w:style>
  <w:style w:type="paragraph" w:customStyle="1" w:styleId="SOURCEGRAPHIQUEBS2011">
    <w:name w:val="SOURCE GRAPHIQUE BS2011"/>
    <w:basedOn w:val="CORPSDUTEXTEBISBS2011"/>
    <w:rsid w:val="003850BE"/>
    <w:rPr>
      <w:rFonts w:ascii="Arial" w:hAnsi="Arial" w:cs="Arial"/>
      <w:sz w:val="16"/>
      <w:szCs w:val="18"/>
    </w:rPr>
  </w:style>
  <w:style w:type="paragraph" w:customStyle="1" w:styleId="TITRETABLEAUBS20111">
    <w:name w:val="TITRE TABLEAU BS 2011"/>
    <w:basedOn w:val="Normal"/>
    <w:rsid w:val="003850BE"/>
    <w:pPr>
      <w:jc w:val="center"/>
    </w:pPr>
    <w:rPr>
      <w:rFonts w:eastAsia="Calibri"/>
      <w:b/>
      <w:sz w:val="22"/>
      <w:szCs w:val="22"/>
      <w:lang w:eastAsia="fr-FR"/>
    </w:rPr>
  </w:style>
  <w:style w:type="paragraph" w:customStyle="1" w:styleId="MINISTERETABLEAUBS2011">
    <w:name w:val="MINISTERE TABLEAU BS2011"/>
    <w:basedOn w:val="Normal"/>
    <w:rsid w:val="003850BE"/>
    <w:pPr>
      <w:jc w:val="center"/>
    </w:pPr>
    <w:rPr>
      <w:rFonts w:eastAsia="Calibri"/>
      <w:b/>
      <w:color w:val="00CC66"/>
      <w:sz w:val="20"/>
      <w:szCs w:val="20"/>
      <w:lang w:eastAsia="fr-FR"/>
    </w:rPr>
  </w:style>
  <w:style w:type="paragraph" w:customStyle="1" w:styleId="TitreTableau">
    <w:name w:val="Titre Tableau"/>
    <w:basedOn w:val="Normal"/>
    <w:rsid w:val="003850BE"/>
    <w:pPr>
      <w:jc w:val="center"/>
    </w:pPr>
    <w:rPr>
      <w:rFonts w:eastAsia="Calibri"/>
      <w:b/>
      <w:sz w:val="22"/>
      <w:szCs w:val="22"/>
      <w:lang w:eastAsia="fr-FR"/>
    </w:rPr>
  </w:style>
  <w:style w:type="paragraph" w:customStyle="1" w:styleId="TableauBS20110">
    <w:name w:val="Tableau BS2011"/>
    <w:basedOn w:val="Normal"/>
    <w:rsid w:val="003850BE"/>
    <w:rPr>
      <w:rFonts w:eastAsia="Calibri"/>
      <w:b/>
      <w:sz w:val="20"/>
      <w:szCs w:val="18"/>
      <w:lang w:eastAsia="fr-FR"/>
    </w:rPr>
  </w:style>
  <w:style w:type="paragraph" w:customStyle="1" w:styleId="SourcetableauBS20110">
    <w:name w:val="Source tableau BS2011"/>
    <w:basedOn w:val="Normal"/>
    <w:rsid w:val="003850BE"/>
    <w:pPr>
      <w:outlineLvl w:val="1"/>
    </w:pPr>
    <w:rPr>
      <w:rFonts w:eastAsia="Calibri"/>
      <w:sz w:val="20"/>
      <w:szCs w:val="20"/>
      <w:lang w:eastAsia="fr-FR"/>
    </w:rPr>
  </w:style>
  <w:style w:type="paragraph" w:customStyle="1" w:styleId="TITREGRAPHIQUEBS2011">
    <w:name w:val="TITRE GRAPHIQUE BS2011"/>
    <w:basedOn w:val="Normal"/>
    <w:rsid w:val="003850BE"/>
    <w:pPr>
      <w:jc w:val="center"/>
    </w:pPr>
    <w:rPr>
      <w:rFonts w:ascii="Arial" w:eastAsia="Calibri" w:hAnsi="Arial" w:cs="Arial"/>
      <w:b/>
      <w:sz w:val="20"/>
      <w:szCs w:val="20"/>
      <w:lang w:eastAsia="fr-FR"/>
    </w:rPr>
  </w:style>
  <w:style w:type="paragraph" w:customStyle="1" w:styleId="CORPSTEXTEBS2011">
    <w:name w:val="CORPS TEXTE BS2011"/>
    <w:basedOn w:val="Normal"/>
    <w:rsid w:val="003850BE"/>
    <w:pPr>
      <w:jc w:val="both"/>
    </w:pPr>
    <w:rPr>
      <w:rFonts w:eastAsia="Calibri" w:cs="Arial"/>
      <w:sz w:val="22"/>
      <w:szCs w:val="22"/>
      <w:lang w:eastAsia="fr-FR"/>
    </w:rPr>
  </w:style>
  <w:style w:type="paragraph" w:customStyle="1" w:styleId="ACTABLEAUBS2011">
    <w:name w:val="AC TABLEAU BS2011"/>
    <w:basedOn w:val="Normal"/>
    <w:rsid w:val="003850BE"/>
    <w:pPr>
      <w:jc w:val="center"/>
    </w:pPr>
    <w:rPr>
      <w:rFonts w:eastAsia="Calibri"/>
      <w:b/>
      <w:color w:val="6600FF"/>
      <w:sz w:val="20"/>
      <w:szCs w:val="20"/>
      <w:lang w:eastAsia="fr-FR"/>
    </w:rPr>
  </w:style>
  <w:style w:type="paragraph" w:customStyle="1" w:styleId="SDTABLEAUBS2011">
    <w:name w:val="SD TABLEAU BS2011"/>
    <w:basedOn w:val="Normal"/>
    <w:link w:val="SDTABLEAUBS2011Car"/>
    <w:rsid w:val="003850BE"/>
    <w:pPr>
      <w:jc w:val="center"/>
    </w:pPr>
    <w:rPr>
      <w:rFonts w:eastAsia="Calibri"/>
      <w:b/>
      <w:color w:val="CC6600"/>
      <w:sz w:val="20"/>
      <w:szCs w:val="20"/>
      <w:lang w:eastAsia="fr-FR"/>
    </w:rPr>
  </w:style>
  <w:style w:type="character" w:customStyle="1" w:styleId="SDTABLEAUBS2011Car">
    <w:name w:val="SD TABLEAU BS2011 Car"/>
    <w:basedOn w:val="Policepardfaut"/>
    <w:link w:val="SDTABLEAUBS2011"/>
    <w:rsid w:val="003850BE"/>
    <w:rPr>
      <w:rFonts w:eastAsia="Calibri"/>
      <w:b/>
      <w:color w:val="CC6600"/>
      <w:lang w:val="fr-FR" w:eastAsia="fr-FR" w:bidi="ar-SA"/>
    </w:rPr>
  </w:style>
  <w:style w:type="paragraph" w:customStyle="1" w:styleId="StyleTITRE2BS2011Justifi">
    <w:name w:val="Style TITRE 2 BS2011 + Justifié"/>
    <w:basedOn w:val="TITRE2BS2011"/>
    <w:rsid w:val="003850BE"/>
    <w:pPr>
      <w:numPr>
        <w:ilvl w:val="1"/>
      </w:numPr>
      <w:tabs>
        <w:tab w:val="num" w:pos="1259"/>
      </w:tabs>
      <w:ind w:left="1259" w:hanging="357"/>
      <w:jc w:val="both"/>
    </w:pPr>
    <w:rPr>
      <w:rFonts w:eastAsia="Times New Roman" w:cs="Times New Roman"/>
      <w:szCs w:val="20"/>
    </w:rPr>
  </w:style>
  <w:style w:type="character" w:customStyle="1" w:styleId="spipsurligne">
    <w:name w:val="spip_surligne"/>
    <w:basedOn w:val="Policepardfaut"/>
    <w:rsid w:val="00DE2554"/>
  </w:style>
  <w:style w:type="character" w:styleId="Marquedecommentaire">
    <w:name w:val="annotation reference"/>
    <w:basedOn w:val="Policepardfaut"/>
    <w:semiHidden/>
    <w:rsid w:val="009A5A5D"/>
    <w:rPr>
      <w:sz w:val="16"/>
      <w:szCs w:val="16"/>
    </w:rPr>
  </w:style>
  <w:style w:type="character" w:customStyle="1" w:styleId="Fort">
    <w:name w:val="Fort"/>
    <w:rsid w:val="006F30E9"/>
    <w:rPr>
      <w:b/>
      <w:bCs w:val="0"/>
    </w:rPr>
  </w:style>
  <w:style w:type="character" w:customStyle="1" w:styleId="apple-converted-space">
    <w:name w:val="apple-converted-space"/>
    <w:basedOn w:val="Policepardfaut"/>
    <w:rsid w:val="00DA475C"/>
  </w:style>
  <w:style w:type="paragraph" w:styleId="Paragraphedeliste">
    <w:name w:val="List Paragraph"/>
    <w:basedOn w:val="Normal"/>
    <w:uiPriority w:val="34"/>
    <w:qFormat/>
    <w:rsid w:val="00CF62E3"/>
    <w:pPr>
      <w:ind w:left="720"/>
      <w:contextualSpacing/>
    </w:pPr>
  </w:style>
</w:styles>
</file>

<file path=word/webSettings.xml><?xml version="1.0" encoding="utf-8"?>
<w:webSettings xmlns:r="http://schemas.openxmlformats.org/officeDocument/2006/relationships" xmlns:w="http://schemas.openxmlformats.org/wordprocessingml/2006/main">
  <w:divs>
    <w:div w:id="109320398">
      <w:bodyDiv w:val="1"/>
      <w:marLeft w:val="0"/>
      <w:marRight w:val="0"/>
      <w:marTop w:val="0"/>
      <w:marBottom w:val="0"/>
      <w:divBdr>
        <w:top w:val="none" w:sz="0" w:space="0" w:color="auto"/>
        <w:left w:val="none" w:sz="0" w:space="0" w:color="auto"/>
        <w:bottom w:val="none" w:sz="0" w:space="0" w:color="auto"/>
        <w:right w:val="none" w:sz="0" w:space="0" w:color="auto"/>
      </w:divBdr>
    </w:div>
    <w:div w:id="483857004">
      <w:bodyDiv w:val="1"/>
      <w:marLeft w:val="0"/>
      <w:marRight w:val="0"/>
      <w:marTop w:val="0"/>
      <w:marBottom w:val="0"/>
      <w:divBdr>
        <w:top w:val="none" w:sz="0" w:space="0" w:color="auto"/>
        <w:left w:val="none" w:sz="0" w:space="0" w:color="auto"/>
        <w:bottom w:val="none" w:sz="0" w:space="0" w:color="auto"/>
        <w:right w:val="none" w:sz="0" w:space="0" w:color="auto"/>
      </w:divBdr>
      <w:divsChild>
        <w:div w:id="2091073631">
          <w:marLeft w:val="0"/>
          <w:marRight w:val="0"/>
          <w:marTop w:val="0"/>
          <w:marBottom w:val="0"/>
          <w:divBdr>
            <w:top w:val="none" w:sz="0" w:space="0" w:color="auto"/>
            <w:left w:val="none" w:sz="0" w:space="0" w:color="auto"/>
            <w:bottom w:val="none" w:sz="0" w:space="0" w:color="auto"/>
            <w:right w:val="none" w:sz="0" w:space="0" w:color="auto"/>
          </w:divBdr>
          <w:divsChild>
            <w:div w:id="1121846078">
              <w:marLeft w:val="0"/>
              <w:marRight w:val="0"/>
              <w:marTop w:val="0"/>
              <w:marBottom w:val="0"/>
              <w:divBdr>
                <w:top w:val="none" w:sz="0" w:space="0" w:color="auto"/>
                <w:left w:val="none" w:sz="0" w:space="0" w:color="auto"/>
                <w:bottom w:val="none" w:sz="0" w:space="0" w:color="auto"/>
                <w:right w:val="none" w:sz="0" w:space="0" w:color="auto"/>
              </w:divBdr>
              <w:divsChild>
                <w:div w:id="294335056">
                  <w:marLeft w:val="0"/>
                  <w:marRight w:val="0"/>
                  <w:marTop w:val="0"/>
                  <w:marBottom w:val="0"/>
                  <w:divBdr>
                    <w:top w:val="none" w:sz="0" w:space="0" w:color="auto"/>
                    <w:left w:val="none" w:sz="0" w:space="0" w:color="auto"/>
                    <w:bottom w:val="none" w:sz="0" w:space="0" w:color="auto"/>
                    <w:right w:val="none" w:sz="0" w:space="0" w:color="auto"/>
                  </w:divBdr>
                  <w:divsChild>
                    <w:div w:id="15650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51677">
      <w:bodyDiv w:val="1"/>
      <w:marLeft w:val="0"/>
      <w:marRight w:val="0"/>
      <w:marTop w:val="0"/>
      <w:marBottom w:val="0"/>
      <w:divBdr>
        <w:top w:val="none" w:sz="0" w:space="0" w:color="auto"/>
        <w:left w:val="none" w:sz="0" w:space="0" w:color="auto"/>
        <w:bottom w:val="none" w:sz="0" w:space="0" w:color="auto"/>
        <w:right w:val="none" w:sz="0" w:space="0" w:color="auto"/>
      </w:divBdr>
    </w:div>
    <w:div w:id="1274288816">
      <w:bodyDiv w:val="1"/>
      <w:marLeft w:val="0"/>
      <w:marRight w:val="0"/>
      <w:marTop w:val="0"/>
      <w:marBottom w:val="0"/>
      <w:divBdr>
        <w:top w:val="none" w:sz="0" w:space="0" w:color="auto"/>
        <w:left w:val="none" w:sz="0" w:space="0" w:color="auto"/>
        <w:bottom w:val="none" w:sz="0" w:space="0" w:color="auto"/>
        <w:right w:val="none" w:sz="0" w:space="0" w:color="auto"/>
      </w:divBdr>
      <w:divsChild>
        <w:div w:id="1180437340">
          <w:marLeft w:val="0"/>
          <w:marRight w:val="0"/>
          <w:marTop w:val="0"/>
          <w:marBottom w:val="0"/>
          <w:divBdr>
            <w:top w:val="none" w:sz="0" w:space="0" w:color="auto"/>
            <w:left w:val="none" w:sz="0" w:space="0" w:color="auto"/>
            <w:bottom w:val="none" w:sz="0" w:space="0" w:color="auto"/>
            <w:right w:val="none" w:sz="0" w:space="0" w:color="auto"/>
          </w:divBdr>
          <w:divsChild>
            <w:div w:id="713501160">
              <w:marLeft w:val="0"/>
              <w:marRight w:val="0"/>
              <w:marTop w:val="0"/>
              <w:marBottom w:val="0"/>
              <w:divBdr>
                <w:top w:val="none" w:sz="0" w:space="0" w:color="auto"/>
                <w:left w:val="none" w:sz="0" w:space="0" w:color="auto"/>
                <w:bottom w:val="none" w:sz="0" w:space="0" w:color="auto"/>
                <w:right w:val="none" w:sz="0" w:space="0" w:color="auto"/>
              </w:divBdr>
            </w:div>
            <w:div w:id="721632325">
              <w:marLeft w:val="0"/>
              <w:marRight w:val="0"/>
              <w:marTop w:val="0"/>
              <w:marBottom w:val="0"/>
              <w:divBdr>
                <w:top w:val="none" w:sz="0" w:space="0" w:color="auto"/>
                <w:left w:val="none" w:sz="0" w:space="0" w:color="auto"/>
                <w:bottom w:val="none" w:sz="0" w:space="0" w:color="auto"/>
                <w:right w:val="none" w:sz="0" w:space="0" w:color="auto"/>
              </w:divBdr>
            </w:div>
            <w:div w:id="13810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2016">
      <w:bodyDiv w:val="1"/>
      <w:marLeft w:val="0"/>
      <w:marRight w:val="0"/>
      <w:marTop w:val="0"/>
      <w:marBottom w:val="0"/>
      <w:divBdr>
        <w:top w:val="none" w:sz="0" w:space="0" w:color="auto"/>
        <w:left w:val="none" w:sz="0" w:space="0" w:color="auto"/>
        <w:bottom w:val="none" w:sz="0" w:space="0" w:color="auto"/>
        <w:right w:val="none" w:sz="0" w:space="0" w:color="auto"/>
      </w:divBdr>
    </w:div>
    <w:div w:id="1797213113">
      <w:bodyDiv w:val="1"/>
      <w:marLeft w:val="0"/>
      <w:marRight w:val="0"/>
      <w:marTop w:val="0"/>
      <w:marBottom w:val="0"/>
      <w:divBdr>
        <w:top w:val="none" w:sz="0" w:space="0" w:color="auto"/>
        <w:left w:val="none" w:sz="0" w:space="0" w:color="auto"/>
        <w:bottom w:val="none" w:sz="0" w:space="0" w:color="auto"/>
        <w:right w:val="none" w:sz="0" w:space="0" w:color="auto"/>
      </w:divBdr>
      <w:divsChild>
        <w:div w:id="1499534830">
          <w:marLeft w:val="0"/>
          <w:marRight w:val="0"/>
          <w:marTop w:val="0"/>
          <w:marBottom w:val="0"/>
          <w:divBdr>
            <w:top w:val="none" w:sz="0" w:space="0" w:color="auto"/>
            <w:left w:val="none" w:sz="0" w:space="0" w:color="auto"/>
            <w:bottom w:val="none" w:sz="0" w:space="0" w:color="auto"/>
            <w:right w:val="none" w:sz="0" w:space="0" w:color="auto"/>
          </w:divBdr>
        </w:div>
      </w:divsChild>
    </w:div>
    <w:div w:id="1872836501">
      <w:bodyDiv w:val="1"/>
      <w:marLeft w:val="0"/>
      <w:marRight w:val="0"/>
      <w:marTop w:val="0"/>
      <w:marBottom w:val="0"/>
      <w:divBdr>
        <w:top w:val="none" w:sz="0" w:space="0" w:color="auto"/>
        <w:left w:val="none" w:sz="0" w:space="0" w:color="auto"/>
        <w:bottom w:val="none" w:sz="0" w:space="0" w:color="auto"/>
        <w:right w:val="none" w:sz="0" w:space="0" w:color="auto"/>
      </w:divBdr>
      <w:divsChild>
        <w:div w:id="1571380500">
          <w:marLeft w:val="0"/>
          <w:marRight w:val="0"/>
          <w:marTop w:val="0"/>
          <w:marBottom w:val="0"/>
          <w:divBdr>
            <w:top w:val="none" w:sz="0" w:space="0" w:color="auto"/>
            <w:left w:val="none" w:sz="0" w:space="0" w:color="auto"/>
            <w:bottom w:val="none" w:sz="0" w:space="0" w:color="auto"/>
            <w:right w:val="none" w:sz="0" w:space="0" w:color="auto"/>
          </w:divBdr>
          <w:divsChild>
            <w:div w:id="148064267">
              <w:marLeft w:val="0"/>
              <w:marRight w:val="0"/>
              <w:marTop w:val="0"/>
              <w:marBottom w:val="0"/>
              <w:divBdr>
                <w:top w:val="none" w:sz="0" w:space="0" w:color="auto"/>
                <w:left w:val="none" w:sz="0" w:space="0" w:color="auto"/>
                <w:bottom w:val="none" w:sz="0" w:space="0" w:color="auto"/>
                <w:right w:val="none" w:sz="0" w:space="0" w:color="auto"/>
              </w:divBdr>
            </w:div>
            <w:div w:id="8999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3132</Words>
  <Characters>17226</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Mesures spécifiques évoquées en réunion de sous-direction</vt:lpstr>
    </vt:vector>
  </TitlesOfParts>
  <Company>MINTRAV</Company>
  <LinksUpToDate>false</LinksUpToDate>
  <CharactersWithSpaces>20318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Mesures spécifiques évoquées en réunion de sous-direction</dc:title>
  <dc:subject/>
  <dc:creator>JC Michaud</dc:creator>
  <cp:keywords/>
  <dc:description/>
  <cp:lastModifiedBy>aseguin</cp:lastModifiedBy>
  <cp:revision>25</cp:revision>
  <cp:lastPrinted>2015-03-12T15:56:00Z</cp:lastPrinted>
  <dcterms:created xsi:type="dcterms:W3CDTF">2015-03-12T15:31:00Z</dcterms:created>
  <dcterms:modified xsi:type="dcterms:W3CDTF">2015-04-01T15:49:00Z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